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A5D4196" w:rsidR="0035422F" w:rsidRPr="000E4677" w:rsidRDefault="00E227F1" w:rsidP="00E227F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Батумский маршрут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2B5AAD" w:rsidRPr="00B8633E" w14:paraId="0B7EAF02" w14:textId="77777777" w:rsidTr="0058358B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D7D504F" w14:textId="2748396D" w:rsidR="002B5AAD" w:rsidRPr="00173402" w:rsidRDefault="00173402" w:rsidP="0017340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Заезды: ежедневно,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br/>
            </w:r>
            <w:r w:rsidRPr="001734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кроме дат, полностью или частично включающих 25.12.2026 – 10.01.2027</w:t>
            </w:r>
          </w:p>
        </w:tc>
      </w:tr>
      <w:tr w:rsidR="002B5AAD" w:rsidRPr="0035422F" w14:paraId="07E99E39" w14:textId="77777777" w:rsidTr="00E227F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E824" w14:textId="2ADBA7D5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66BD" w14:textId="08F129E0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льный прилет в аэропорт Батуми.</w:t>
            </w:r>
          </w:p>
          <w:p w14:paraId="71A8323E" w14:textId="029B0BE3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в отель (время в пути до отеля – около 30 минут, зависит от дорожной ситуации; трансферы от ж/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и автовокзала за доп. плату).</w:t>
            </w:r>
          </w:p>
          <w:p w14:paraId="7714ADE3" w14:textId="1123AC74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после 15:00.</w:t>
            </w:r>
          </w:p>
          <w:p w14:paraId="495DB699" w14:textId="209B9F55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0FD99DDD" w14:textId="0A32D53B" w:rsidR="00E227F1" w:rsidRPr="00E227F1" w:rsidRDefault="00E227F1" w:rsidP="00E227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Погуляйте и насладитесь морским воздухом и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 зарядитесь энергетикой Батуми.</w:t>
            </w:r>
          </w:p>
          <w:p w14:paraId="7E7C76E1" w14:textId="2A89DFA2" w:rsidR="002B5AAD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358463FD" w14:textId="77777777" w:rsidTr="00E227F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91C5" w14:textId="47C25312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EE9F" w14:textId="375FFB2A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2316EC" w14:textId="6298C6FD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10:00 начало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граммы (время ориентировочное).</w:t>
            </w:r>
          </w:p>
          <w:p w14:paraId="2ADC069B" w14:textId="74771B5E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курортному Батуми.</w:t>
            </w:r>
          </w:p>
          <w:p w14:paraId="6209EC59" w14:textId="7B9AA29E" w:rsidR="00E227F1" w:rsidRPr="00E227F1" w:rsidRDefault="00E227F1" w:rsidP="00E227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ознакомитесь с основными достопримечательностями Батуми, его историей и архитектурой. Вас ожидает прогулка по Старому Батуми, где царит дух прошлых столетий. Старый город отличается разнообразием архитектурных изысков: здания украшены химерами, русалками, атлантами и другими мифическими существами. Также вы познакомитесь с современной архитектурой Батуми, которая весьма авангардна и интересна. Каждое здание поражает своим разнообразием архитектурных форм и направлений. Экскурсия включает обзор следующих достопримечательностей: Приморского бульвара, Алфавитной башни, подвижной статуи Али и </w:t>
            </w:r>
            <w:proofErr w:type="spellStart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, статуи Медеи, фонтана со статуей Нептуна, церкви им. св. Николая и им. св. Варвары, площади </w:t>
            </w:r>
            <w:proofErr w:type="spellStart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Пьяцца</w:t>
            </w:r>
            <w:proofErr w:type="spellEnd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 (площадь в венецианском стиле), Батумского морского порта, парка им. 6 мая и озера </w:t>
            </w:r>
            <w:proofErr w:type="spellStart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Нуригель</w:t>
            </w:r>
            <w:proofErr w:type="spellEnd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, дельфинария, здания Министерства юстиции, Аджарского Дома, поющих и танцующих фонтанов, озера </w:t>
            </w:r>
            <w:proofErr w:type="spellStart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Ардаган</w:t>
            </w:r>
            <w:proofErr w:type="spellEnd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. Пр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огулка по Приморскому бульвару.</w:t>
            </w:r>
          </w:p>
          <w:p w14:paraId="39B42F06" w14:textId="79A4393E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Пое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здка в ботанический сад Батуми.</w:t>
            </w:r>
          </w:p>
          <w:p w14:paraId="507CDA49" w14:textId="77777777" w:rsidR="00E227F1" w:rsidRPr="00E227F1" w:rsidRDefault="00E227F1" w:rsidP="00E227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После городской прогулки Батуми меняет интонацию. Шум улиц остаётся внизу, а экскурсия плавно переходит в другой ритм – более медленный, зелёный, приморский. Батумский ботанический сад расположен на склонах Зелёного мыса, и уже с первых шагов чувствуется, как меняется воздух: он становится прохладнее, влажнее, насыщен запахами листвы и моря. Прогулка проходит по извилистым аллеям, где плотная зелень время от времени расступается, открывая виды на Чёрное море. Эти «окна» к воде – один из самых сильных эффектов сада: кажется, что море всё время рядом, сопровождает маршрут, мерцает между ветвями. Сад устроен так, что во время прогулки пространство постоянно меняется. Где-то дорожки идут под кронами высоких деревьев, создавая тень и ощущение уединения, где-то становятся более открытыми и светлыми. Маршрут не требует спешки: здесь хочется идти медленно, останавливаться, смотреть по сторонам, делать паузы для фотографий и просто отдыхать глазами.</w:t>
            </w:r>
          </w:p>
          <w:p w14:paraId="020A0C33" w14:textId="027F2367" w:rsidR="00E227F1" w:rsidRPr="00E227F1" w:rsidRDefault="00E227F1" w:rsidP="00E227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Ботанический сад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 как идеальный баланс. После архитектуры, истории и городского движения он даёт возможность выдохнуть, почувствовать природную сторону Аджарии и завершить день в спокойном, созерцательном настроении. Это не активная экскурсия и не «бег по точкам», а именно прогулка – мягкая, визуально насыщенная и очень га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рмоничная.</w:t>
            </w:r>
          </w:p>
          <w:p w14:paraId="6D353393" w14:textId="121CCC5C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16:00.</w:t>
            </w:r>
          </w:p>
          <w:p w14:paraId="07ADE705" w14:textId="2D086D90" w:rsidR="002B5AAD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5A4EF964" w14:textId="77777777" w:rsidTr="00E227F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ACDF" w14:textId="04F9B854" w:rsidR="002B5AAD" w:rsidRDefault="002B5AAD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3BB1" w14:textId="1C84290E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6C8B87F" w14:textId="1527C1D3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Начало программы.</w:t>
            </w:r>
          </w:p>
          <w:p w14:paraId="1836B031" w14:textId="04360937" w:rsidR="00E227F1" w:rsidRPr="00E227F1" w:rsidRDefault="00E227F1" w:rsidP="00E227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Сегодняшний день посвящен путешествию в глубину региона. Буквально в часе езды от Батуми начинается совершенно другой мир – горные дороги, густые леса, шумные водопады и древние мосты, которые стоят здесь уже несколько столетий. Это одна из самых красивых экскурсий на побережье, где за один день можно увидеть и исторические места, и природные пейзажи, ради которых многие путешественник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и возвращаются в Аджарию снова.</w:t>
            </w:r>
          </w:p>
          <w:p w14:paraId="1E771DBE" w14:textId="59BA2B5B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 1. Горная Аджария:</w:t>
            </w:r>
          </w:p>
          <w:p w14:paraId="16DBE689" w14:textId="561E189A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горную Аджарию.</w:t>
            </w:r>
          </w:p>
          <w:p w14:paraId="499150DF" w14:textId="08910F46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проходит вдоль реки </w:t>
            </w:r>
            <w:proofErr w:type="spellStart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Аджарисцкали</w:t>
            </w:r>
            <w:proofErr w:type="spellEnd"/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, среди зеленых холмов, горных деревень и виноградников. Этот маршрут часто называют одним из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 самых живописных на побережье.</w:t>
            </w:r>
          </w:p>
          <w:p w14:paraId="12A3D33C" w14:textId="2A5B9AE9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крепости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Гонио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0AB711" w14:textId="5B82E0F8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Древняя римская крепость, история которой насчитывает почти две тысячи лет. По легенде, именно здесь находится могила апостола Матфея. Мощные каменные стены и башни крепости напоминают о времени, когда этот регион был важным пун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ктом на древних торговых путях.</w:t>
            </w:r>
          </w:p>
          <w:p w14:paraId="4F657E1C" w14:textId="0134C1E8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водопаду Андрея Первозванного.</w:t>
            </w:r>
          </w:p>
          <w:p w14:paraId="402C7E35" w14:textId="6ACF8A16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По преданию, именно здесь апостол Андрей впервые проповедовал христианство на территории Грузии. Место окружено густой зеленью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 и небольшими горными потоками.</w:t>
            </w:r>
          </w:p>
          <w:p w14:paraId="4713C79D" w14:textId="3C2EE743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по маршруту.</w:t>
            </w:r>
          </w:p>
          <w:p w14:paraId="3E6B09CF" w14:textId="02C259B1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Особенно красивой точкой на маршруте является слияние двух рек, где бирюзовая и темная вода соединяются в одно русло. Это место считается одним и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з самых фотогеничных в регионе.</w:t>
            </w:r>
          </w:p>
          <w:p w14:paraId="3885CACF" w14:textId="1164775A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водопада </w:t>
            </w:r>
            <w:proofErr w:type="spellStart"/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Мирвети</w:t>
            </w:r>
            <w:proofErr w:type="spellEnd"/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, спрята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нного в густом самшитовом лесу.</w:t>
            </w:r>
          </w:p>
          <w:p w14:paraId="5B14E4FE" w14:textId="76DD2157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Чтобы попасть к нему, нужно пройти по небольшой тропе и пе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рейти старинный подвесной мост.</w:t>
            </w:r>
          </w:p>
          <w:p w14:paraId="18829F24" w14:textId="011BF12E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Путешествие к водопаду </w:t>
            </w:r>
            <w:proofErr w:type="spellStart"/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Махунцети</w:t>
            </w:r>
            <w:proofErr w:type="spellEnd"/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одному из 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ых известных водопадов Аджарии.</w:t>
            </w:r>
          </w:p>
          <w:p w14:paraId="6E1CF4EE" w14:textId="28185A31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Рядом находится знаменитый мост царицы Тамар – каменный арочный мост XII века, построенный без использования металлических конструкций. Он считается настоящим архитектурным памятником средн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евековой Грузии.</w:t>
            </w:r>
          </w:p>
          <w:p w14:paraId="1326C195" w14:textId="4948CA34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Батуми.</w:t>
            </w:r>
          </w:p>
          <w:p w14:paraId="4DBB4C86" w14:textId="7D19EECB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</w:t>
            </w:r>
            <w:r w:rsidRPr="00E227F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иант 2. Путешествие в </w:t>
            </w:r>
            <w:proofErr w:type="spellStart"/>
            <w:r w:rsidRPr="00E227F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Имеретию</w:t>
            </w:r>
            <w:proofErr w:type="spellEnd"/>
            <w:r w:rsidRPr="00E227F1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5EEEA6F5" w14:textId="66EAE0E6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Имеретию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E935293" w14:textId="58867111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Этот маршрут открывает совершенно другую сторону Западной Грузии – мир подземны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х пещер, каньонов и горных рек.</w:t>
            </w:r>
          </w:p>
          <w:p w14:paraId="69EF7D94" w14:textId="4D60141F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 у карстовой пещеры Прометея.</w:t>
            </w:r>
          </w:p>
          <w:p w14:paraId="6B75C23E" w14:textId="24DB49B9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Самая большая оборудованная пещера в стране. Ее огромные залы освещены мягкой подсветкой, благодаря которой сталактиты и сталагмиты выглядят особенно впечатляюще. Внутри пещеры находятся подземные озера и реки, а прогулка проходит по специально оборудованн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ым дорожкам.</w:t>
            </w:r>
          </w:p>
          <w:p w14:paraId="4CB0DEFA" w14:textId="46DE0200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в </w:t>
            </w:r>
            <w:proofErr w:type="spellStart"/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Мартвиль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каньон. Лодочная прогулка.</w:t>
            </w:r>
          </w:p>
          <w:p w14:paraId="632B0AE1" w14:textId="63C88EE4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Одно из самых красивых природных мест Западной Грузии. Здесь река Абаша прорезала скалы, образовав узкий каньон с бирюзовой водой и небольшими водопадами. Главное 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впечатление каньона – лодочная прогулка. Лодка медленно проходит между высокими зелеными скалами, отражающимися в воде, и создается ощущение, что вы попали в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 xml:space="preserve"> настоящий природный амфитеатр.</w:t>
            </w:r>
          </w:p>
          <w:p w14:paraId="02EDAAD3" w14:textId="55FA2BEC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Посе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серных источников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Техури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4634AF8" w14:textId="6F543088" w:rsidR="00E227F1" w:rsidRPr="00E227F1" w:rsidRDefault="00E227F1" w:rsidP="00E227F1">
            <w:p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Теплая минеральная вода этих источников известна своими расслабляющими свойствами и особен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но приятна после активного дня.</w:t>
            </w:r>
          </w:p>
          <w:p w14:paraId="7DE6592F" w14:textId="0BD6D0B7" w:rsidR="00E227F1" w:rsidRPr="00E227F1" w:rsidRDefault="00E227F1" w:rsidP="00E227F1">
            <w:pPr>
              <w:shd w:val="clear" w:color="auto" w:fill="FFFFFF"/>
              <w:spacing w:before="160" w:after="0" w:line="240" w:lineRule="auto"/>
              <w:ind w:left="45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Батуми.</w:t>
            </w:r>
          </w:p>
          <w:p w14:paraId="72419DC8" w14:textId="08F85557" w:rsidR="002B5AAD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43A30A40" w14:textId="77777777" w:rsidTr="00E227F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DA28" w14:textId="13C00B75" w:rsidR="002B5AAD" w:rsidRDefault="00E227F1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B217" w14:textId="174846C5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6281145" w14:textId="4ACFA2C5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на море.</w:t>
            </w:r>
          </w:p>
          <w:p w14:paraId="6F2B4317" w14:textId="2BB93FBF" w:rsidR="00E227F1" w:rsidRPr="00E227F1" w:rsidRDefault="00E227F1" w:rsidP="00E227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Наслаждайтесь свободным временем у моря. Время погулять, насладиться морским побережьем и соленым воздухом! Неспешно выпить вина или аром</w:t>
            </w:r>
            <w:r w:rsidRPr="00E227F1">
              <w:rPr>
                <w:rFonts w:ascii="Times New Roman" w:eastAsia="Times New Roman" w:hAnsi="Times New Roman"/>
                <w:bCs/>
                <w:lang w:eastAsia="ru-RU"/>
              </w:rPr>
              <w:t>атный кофе, сваренный на песке.</w:t>
            </w:r>
          </w:p>
          <w:p w14:paraId="152EE8BB" w14:textId="69B9C85B" w:rsidR="002B5AAD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2B5AAD" w:rsidRPr="0035422F" w14:paraId="18FB0DF8" w14:textId="77777777" w:rsidTr="00E227F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44A9" w14:textId="4591E9C4" w:rsidR="002B5AAD" w:rsidRDefault="00E227F1" w:rsidP="002B5AA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5 </w:t>
            </w:r>
            <w:r w:rsidR="002B5A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40D6" w14:textId="3DF89845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D0B4D7B" w14:textId="04F656C7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54F76B8E" w14:textId="3548197E" w:rsidR="00E227F1" w:rsidRPr="00E227F1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ропорт Батуми (под любой рейс).</w:t>
            </w:r>
          </w:p>
          <w:p w14:paraId="7E0ECDD3" w14:textId="32E6091E" w:rsidR="002B5AAD" w:rsidRDefault="00E227F1" w:rsidP="00E227F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227F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497D1960" w14:textId="74E78B24" w:rsidR="002B5AAD" w:rsidRPr="001C0BD8" w:rsidRDefault="00156816" w:rsidP="001C0BD8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1695"/>
      </w:tblGrid>
      <w:tr w:rsidR="002B5AAD" w14:paraId="485D2838" w14:textId="77777777" w:rsidTr="003A28B3">
        <w:tc>
          <w:tcPr>
            <w:tcW w:w="4678" w:type="dxa"/>
            <w:shd w:val="clear" w:color="auto" w:fill="F2F2F2" w:themeFill="background1" w:themeFillShade="F2"/>
          </w:tcPr>
          <w:p w14:paraId="5F43535C" w14:textId="77777777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E1E84F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999EA27" w14:textId="77777777" w:rsidR="002B5AAD" w:rsidRPr="00156816" w:rsidRDefault="002B5AAD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0B8B0A4" w14:textId="77777777" w:rsidR="002B5AAD" w:rsidRPr="00156816" w:rsidRDefault="002B5AAD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2B5AAD" w14:paraId="431E6484" w14:textId="77777777" w:rsidTr="003A28B3">
        <w:tc>
          <w:tcPr>
            <w:tcW w:w="4678" w:type="dxa"/>
          </w:tcPr>
          <w:p w14:paraId="38DCBF5E" w14:textId="42DAA752" w:rsidR="002B5AAD" w:rsidRPr="00B8633E" w:rsidRDefault="002B5AAD" w:rsidP="0058358B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 w:rsidR="00B853D9">
              <w:rPr>
                <w:bCs/>
                <w:color w:val="000000"/>
                <w:sz w:val="24"/>
                <w:szCs w:val="24"/>
                <w:lang w:val="ru-RU"/>
              </w:rPr>
              <w:t xml:space="preserve"> (на море)</w:t>
            </w:r>
          </w:p>
        </w:tc>
        <w:tc>
          <w:tcPr>
            <w:tcW w:w="1701" w:type="dxa"/>
          </w:tcPr>
          <w:p w14:paraId="07A641FC" w14:textId="675671B9" w:rsidR="002B5AAD" w:rsidRPr="00156816" w:rsidRDefault="00E227F1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950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103E02F1" w14:textId="2993D32C" w:rsidR="002B5AAD" w:rsidRPr="00156816" w:rsidRDefault="00E227F1" w:rsidP="0058358B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550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695" w:type="dxa"/>
          </w:tcPr>
          <w:p w14:paraId="36039957" w14:textId="7C9A56FB" w:rsidR="002B5AAD" w:rsidRDefault="00E227F1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465</w:t>
            </w:r>
            <w:r w:rsidR="00B853D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2B5AAD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3A28B3" w14:paraId="449C48C6" w14:textId="77777777" w:rsidTr="003A28B3">
        <w:tc>
          <w:tcPr>
            <w:tcW w:w="4678" w:type="dxa"/>
          </w:tcPr>
          <w:p w14:paraId="51AC8A19" w14:textId="2633A3EB" w:rsidR="003A28B3" w:rsidRPr="00B8633E" w:rsidRDefault="003A28B3" w:rsidP="003A28B3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8633E">
              <w:rPr>
                <w:bCs/>
                <w:color w:val="000000"/>
                <w:sz w:val="24"/>
                <w:szCs w:val="24"/>
                <w:lang w:val="ru-RU"/>
              </w:rPr>
              <w:t>Отели категории Стандарт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Плюс (на море)</w:t>
            </w:r>
          </w:p>
        </w:tc>
        <w:tc>
          <w:tcPr>
            <w:tcW w:w="1701" w:type="dxa"/>
          </w:tcPr>
          <w:p w14:paraId="633AD4FF" w14:textId="472735FE" w:rsidR="003A28B3" w:rsidRPr="00B853D9" w:rsidRDefault="00E227F1" w:rsidP="003A28B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1160</w:t>
            </w:r>
            <w:r w:rsidR="003A28B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A28B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843" w:type="dxa"/>
          </w:tcPr>
          <w:p w14:paraId="630A1466" w14:textId="3A5CBFFF" w:rsidR="003A28B3" w:rsidRPr="00B853D9" w:rsidRDefault="00E227F1" w:rsidP="003A28B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650</w:t>
            </w:r>
            <w:r w:rsidR="003A28B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A28B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695" w:type="dxa"/>
          </w:tcPr>
          <w:p w14:paraId="14BD7E20" w14:textId="7CA0C67E" w:rsidR="003A28B3" w:rsidRPr="00B853D9" w:rsidRDefault="00E227F1" w:rsidP="003A28B3">
            <w:pPr>
              <w:pStyle w:val="af"/>
              <w:tabs>
                <w:tab w:val="left" w:pos="426"/>
              </w:tabs>
              <w:ind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614</w:t>
            </w:r>
            <w:r w:rsidR="003A28B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A28B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19255D68" w14:textId="77777777" w:rsidR="002B5AAD" w:rsidRPr="00F137B6" w:rsidRDefault="002B5AA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A5D9076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127BBE42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3-4* согласно программе в Батуми (подтверждается один из заявленных или аналогичный – без выбора):</w:t>
      </w:r>
    </w:p>
    <w:p w14:paraId="303EB714" w14:textId="77777777" w:rsidR="00E227F1" w:rsidRPr="00E227F1" w:rsidRDefault="00E227F1" w:rsidP="00E227F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категория «Стандарт» – </w:t>
      </w:r>
      <w:proofErr w:type="spellStart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Daisi</w:t>
      </w:r>
      <w:proofErr w:type="spellEnd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Sunset</w:t>
      </w:r>
      <w:proofErr w:type="spellEnd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14:paraId="71025095" w14:textId="77777777" w:rsidR="00E227F1" w:rsidRPr="00E227F1" w:rsidRDefault="00E227F1" w:rsidP="00E227F1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категория</w:t>
      </w:r>
      <w:r w:rsidRPr="00E227F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«</w:t>
      </w: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Стандарт</w:t>
      </w:r>
      <w:r w:rsidRPr="00E227F1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Плюс</w:t>
      </w:r>
      <w:r w:rsidRPr="00E227F1">
        <w:rPr>
          <w:rFonts w:ascii="Times New Roman" w:eastAsia="Times New Roman" w:hAnsi="Times New Roman"/>
          <w:color w:val="000000"/>
          <w:szCs w:val="24"/>
          <w:lang w:val="en-US" w:eastAsia="ru-RU"/>
        </w:rPr>
        <w:t>» – Landmark Hotel 4*, Piazza Epigraph 4*, Graphic Hotel Batumi 4*, Hotel N16;</w:t>
      </w:r>
    </w:p>
    <w:p w14:paraId="00DA4790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50F81449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заявку).</w:t>
      </w:r>
    </w:p>
    <w:p w14:paraId="02EFBC94" w14:textId="77777777" w:rsidR="003A28B3" w:rsidRPr="003A28B3" w:rsidRDefault="003A28B3" w:rsidP="003A28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BDC1DF7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Батуми и обратно;</w:t>
      </w:r>
    </w:p>
    <w:p w14:paraId="66763AE2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трансферы от/до ж/д или автовокзала (рассчитываются индивидуально);</w:t>
      </w:r>
    </w:p>
    <w:p w14:paraId="60BDEC1B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7117B93F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362AA63D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(оплата на месте);</w:t>
      </w:r>
    </w:p>
    <w:p w14:paraId="1D3851D9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(оплата на месте);</w:t>
      </w:r>
    </w:p>
    <w:p w14:paraId="14A8A396" w14:textId="77777777" w:rsidR="00E227F1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страховка (с 01.01.2026 для въезда в Грузию обязательно наличие медицинской страховки и страховки от несчастного случая);</w:t>
      </w:r>
    </w:p>
    <w:p w14:paraId="7ED3723D" w14:textId="6831C165" w:rsidR="00E816A9" w:rsidRPr="00E227F1" w:rsidRDefault="00E227F1" w:rsidP="00E227F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227F1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bookmarkEnd w:id="1"/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A7807D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 (порядок может отличаться от программы).</w:t>
      </w:r>
    </w:p>
    <w:p w14:paraId="29D1C81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FF6771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D43B1E7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90CD133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4BC242AE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7684ED0B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6486A50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1C76A67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0EDDB6D2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6ABB4C9C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2E76F0F6" w14:textId="77777777" w:rsidR="00B853D9" w:rsidRPr="00B853D9" w:rsidRDefault="00B853D9" w:rsidP="00B853D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406E39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3756B42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14495BB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трансфер! Но не позднее, чем за 4 часа до изначального времени прилета/вылета.</w:t>
      </w:r>
    </w:p>
    <w:p w14:paraId="5D511DE7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в зоне прилета (после получения багажа), где все встречающие. На улицу выходить не нужно!</w:t>
      </w:r>
    </w:p>
    <w:p w14:paraId="0BF50242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форс-мажорных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51646190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 бронировании программы для 1 человека – необходимо выбирать 1-местное размещение. Подбор пары не гарантирован.</w:t>
      </w:r>
    </w:p>
    <w:p w14:paraId="12FFA503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746A1371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2478CE76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Заселение в отели по международным правилам после 14 часов. Освобождение номеров до 12 часов.</w:t>
      </w:r>
    </w:p>
    <w:p w14:paraId="49955ACF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01C99E2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отеля. Обеды и ужины не включены – гость заказывает и оплачивает самостоятельно.</w:t>
      </w:r>
    </w:p>
    <w:p w14:paraId="2EC507AD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необходима уборка комнаты – необходимо оставить табличку на двери – на Кавказе не принято заходить в номера без таблички.</w:t>
      </w:r>
    </w:p>
    <w:p w14:paraId="57C43298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1CD5CB49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50E46FBB" w14:textId="77777777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При количестве гостей на экскурсии до 6 человек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до 16 человек – микроавтобус (гид + водитель), более 20 человек – автобус (гид + водитель).</w:t>
      </w:r>
    </w:p>
    <w:p w14:paraId="669F4C52" w14:textId="39F6F523" w:rsidR="00B853D9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заранее не фиксируются и распределяются на месте в свободном порядке. Состав группы и количество гостей на разных экскурси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ях</w:t>
      </w: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может отличаться (в один день стартуют несколько программ).</w:t>
      </w:r>
    </w:p>
    <w:p w14:paraId="0A752027" w14:textId="5A25EDD4" w:rsidR="00072673" w:rsidRPr="00B853D9" w:rsidRDefault="00B853D9" w:rsidP="00B853D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B853D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B853D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133B" w14:textId="77777777" w:rsidR="008F2FBD" w:rsidRDefault="008F2FBD" w:rsidP="00CD1C11">
      <w:pPr>
        <w:spacing w:after="0" w:line="240" w:lineRule="auto"/>
      </w:pPr>
      <w:r>
        <w:separator/>
      </w:r>
    </w:p>
  </w:endnote>
  <w:endnote w:type="continuationSeparator" w:id="0">
    <w:p w14:paraId="60E7B06D" w14:textId="77777777" w:rsidR="008F2FBD" w:rsidRDefault="008F2FB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F2C75" w14:textId="77777777" w:rsidR="008F2FBD" w:rsidRDefault="008F2FBD" w:rsidP="00CD1C11">
      <w:pPr>
        <w:spacing w:after="0" w:line="240" w:lineRule="auto"/>
      </w:pPr>
      <w:r>
        <w:separator/>
      </w:r>
    </w:p>
  </w:footnote>
  <w:footnote w:type="continuationSeparator" w:id="0">
    <w:p w14:paraId="5095BAB9" w14:textId="77777777" w:rsidR="008F2FBD" w:rsidRDefault="008F2FB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C13A8"/>
    <w:multiLevelType w:val="hybridMultilevel"/>
    <w:tmpl w:val="3B98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402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0BD8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066ED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5AAD"/>
    <w:rsid w:val="002B661B"/>
    <w:rsid w:val="002C125E"/>
    <w:rsid w:val="002C18E3"/>
    <w:rsid w:val="002C6035"/>
    <w:rsid w:val="002D4CA8"/>
    <w:rsid w:val="002D5DD4"/>
    <w:rsid w:val="002F52CE"/>
    <w:rsid w:val="00311807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28B3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41F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1630"/>
    <w:rsid w:val="00663512"/>
    <w:rsid w:val="0066617D"/>
    <w:rsid w:val="00670354"/>
    <w:rsid w:val="00672CC9"/>
    <w:rsid w:val="00674304"/>
    <w:rsid w:val="006743F6"/>
    <w:rsid w:val="00680F56"/>
    <w:rsid w:val="00683175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177D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0E8E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2FBD"/>
    <w:rsid w:val="008F5348"/>
    <w:rsid w:val="00901BB3"/>
    <w:rsid w:val="009030A9"/>
    <w:rsid w:val="009059AE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0F38"/>
    <w:rsid w:val="009C1719"/>
    <w:rsid w:val="009C6F4D"/>
    <w:rsid w:val="009D3D25"/>
    <w:rsid w:val="009D4F24"/>
    <w:rsid w:val="009E080C"/>
    <w:rsid w:val="009E145B"/>
    <w:rsid w:val="009E2013"/>
    <w:rsid w:val="009E471A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DB9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0F93"/>
    <w:rsid w:val="00B722F6"/>
    <w:rsid w:val="00B853D2"/>
    <w:rsid w:val="00B853D9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1621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27F1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B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38</cp:revision>
  <cp:lastPrinted>2021-05-14T11:01:00Z</cp:lastPrinted>
  <dcterms:created xsi:type="dcterms:W3CDTF">2022-09-23T10:01:00Z</dcterms:created>
  <dcterms:modified xsi:type="dcterms:W3CDTF">2026-05-14T14:04:00Z</dcterms:modified>
</cp:coreProperties>
</file>