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0300E96" w:rsidR="0035422F" w:rsidRPr="000E4677" w:rsidRDefault="009C622B" w:rsidP="00EE3C3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622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Блиц-тур по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EE3C3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 дня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605FA3" w:rsidRPr="000E4677" w14:paraId="11AFE44C" w14:textId="77777777" w:rsidTr="00F3698A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713C371" w14:textId="77777777" w:rsidR="00605FA3" w:rsidRDefault="00AA3466" w:rsidP="00AA346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Зимний вариант программы</w:t>
            </w:r>
          </w:p>
          <w:p w14:paraId="67A3CB01" w14:textId="2C5B83D6" w:rsidR="00AA3466" w:rsidRPr="000E4677" w:rsidRDefault="001323F9" w:rsidP="001323F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</w:t>
            </w:r>
            <w:r w:rsidRPr="001323F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аезды на тур по понедельникам и вторникам</w:t>
            </w:r>
            <w:r w:rsidR="00EE3C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br/>
            </w:r>
            <w:r w:rsidR="00AA34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(</w:t>
            </w:r>
            <w:r w:rsidRPr="001323F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 16 ноября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по </w:t>
            </w:r>
            <w:r w:rsidRPr="001323F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26 февраля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,</w:t>
            </w:r>
            <w:r w:rsidRPr="001323F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кроме 30 и  31 дек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а</w:t>
            </w:r>
            <w:r w:rsidRPr="001323F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бря</w:t>
            </w:r>
            <w:r w:rsidR="00AA34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)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BD34" w14:textId="2D79DEE0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590163CD" w14:textId="2472B441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</w:t>
            </w:r>
          </w:p>
          <w:p w14:paraId="38CEDC54" w14:textId="640CB5B1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(при раннем прилете) – обзорная экскурсия по Еревану (за доп. пл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ату).</w:t>
            </w:r>
          </w:p>
          <w:p w14:paraId="33E8D4C1" w14:textId="72E74AE5" w:rsidR="009711DE" w:rsidRPr="000923FF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4E98" w14:textId="3B1CEFA6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4D14660" w14:textId="284B7917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высокогорному озеру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еван – одному из чудес Армении.</w:t>
            </w:r>
          </w:p>
          <w:p w14:paraId="50C52DBB" w14:textId="7AC2B0A8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Севан объектом своего искусства.</w:t>
            </w:r>
          </w:p>
          <w:p w14:paraId="1BB383C2" w14:textId="159F5203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2364373" w14:textId="28CD2C42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горному курорту Дилижа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н.</w:t>
            </w:r>
          </w:p>
          <w:p w14:paraId="650DFD65" w14:textId="2478AD7E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Он расположен высоко в горах (1200-1500 м), покрытых девственными сосновыми лесами.</w:t>
            </w:r>
          </w:p>
          <w:p w14:paraId="0FC5270A" w14:textId="787601BF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монастырско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 комплекса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1505D6F7" w14:textId="1A4592E9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Наиболее уединенный и отрезанный от внешнего мира монастырь, включающий группу монастырских зданий, тесно примыкающих друг к другу. Неожиданно возникающий среди густых деревьев монастырь создает сказочное впечатление затерянного мира.</w:t>
            </w:r>
          </w:p>
          <w:p w14:paraId="59A1AFC0" w14:textId="7B8B78C7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средневековог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7754CD44" w14:textId="56AE07F7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Монастырь был возведен на месте разрушенного землетрясением древнего монастыря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Гетик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, в строительстве которого принимал участие выдающийся ученый и писатель средневековой Армении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Мхитар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Гош. В честь его и был назван монастырь. В ансамбль сооружений монастырского комплекса входят Церковь Св.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(Богоматери 1196 г.), Церковь Св.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Геворка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(1231 г.), Церковь Св.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Григора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Просветителя (1241 г.), книгохранилище с колокольней (1291 г.), здание школы, часовня и галерея (XIII в.).</w:t>
            </w:r>
          </w:p>
          <w:p w14:paraId="1FB6288E" w14:textId="6D74809E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475735E8" w14:textId="2A3E8264" w:rsidR="00CB37B0" w:rsidRPr="000923FF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102F" w14:textId="3F562569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4127EA9" w14:textId="1E4E29C3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Арарат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скую долину к церкви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01000BE" w14:textId="7BE04BF9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Отсюда открывается неповторимая панорама на прекрасную сверкающую белоснежными вершинами библейскую гору Арарат. Глубоко под церковью находится священное место: здесь в подземелье в заточении Григорий Просветитель провел 13 лет по приказу царя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Трдата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за распространение христианства в Армении. После освобождения в 301 году Григорий Просветитель освятил армянский народ и Христианство было принято в Армении в качестве государственной религии. На месте заточения Григория Просветителя была построена церковь Хор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, которая стала святым местом для всего христианского мира, а Григорий Просветитель был возведен в лик святых и считается основоположником армянской апостольской церкви. В церкви сохранен вход в подземелье, так что есть возможность спуститься по лестнице и осмотреть место заточения. Недалеко от церкви находятся руины </w:t>
            </w: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древней столицы Армении Арташата, являющегося одним из немногих древних городов, построенных по специальному проекту. Автором плана города являлся командующий древнего Карфагена Ганнибал, сбежавший в Армению после того, как проиграл войну с Римом.</w:t>
            </w:r>
          </w:p>
          <w:p w14:paraId="47967DD6" w14:textId="43C43858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пути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Азатскому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водохранилищу.</w:t>
            </w:r>
          </w:p>
          <w:p w14:paraId="38FE1BD6" w14:textId="2E02957B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самых красивых и значимых водохранилищ Армении, расположенное в Араратской области на высоте 1050 метров над уровнем моря. Построенное на реке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, это водохранилище занимает площадь 2,85 квадратных километров и достигает глубины 24,5 метров. Оно не только впечатляет своими масштабами, являясь четвёртым по величине в стране, но и играет важную роль в орошении полей плодородной Араратской долины. Вокруг водохранилища открываются живописные виды на окружающие горы и природу.</w:t>
            </w:r>
          </w:p>
          <w:p w14:paraId="2047E027" w14:textId="4BBD7C4B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необыкновенному по красоте языческому храму Солнца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I в. н. э.) 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D38893F" w14:textId="7716737A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 г., позднее в 1969–1974 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 г. н. э. царем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Трдатом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48589D9A" w14:textId="0E3301E3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редчайшему высеченному в скале хр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аму Св.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(XII–XIII вв.).</w:t>
            </w:r>
          </w:p>
          <w:p w14:paraId="2763FFE5" w14:textId="3C36B19C" w:rsidR="001323F9" w:rsidRPr="001323F9" w:rsidRDefault="001323F9" w:rsidP="001323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В переводе храм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музее Св. Эчмиадзина). Храм находится высоко в горах в живописном ущелье реки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1323F9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Всемирного Наследия ЮНЕСКО (2000).</w:t>
            </w:r>
          </w:p>
          <w:p w14:paraId="792E6A8E" w14:textId="56BBDA84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Демонстрация уникального процесса выпечки армянского хлеба – лав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аша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тоныре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сельском домике</w:t>
            </w:r>
          </w:p>
          <w:p w14:paraId="0BF346AF" w14:textId="765E6FE6" w:rsidR="001323F9" w:rsidRPr="001323F9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11A5857" w14:textId="0EEB5D14" w:rsidR="0098283F" w:rsidRPr="000923FF" w:rsidRDefault="001323F9" w:rsidP="001323F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23F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D35E" w14:textId="13BE954D" w:rsidR="009C622B" w:rsidRPr="009C622B" w:rsidRDefault="009C622B" w:rsidP="009C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C622B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в гостинице.</w:t>
            </w:r>
          </w:p>
          <w:p w14:paraId="03611504" w14:textId="2CF8CF11" w:rsidR="009C622B" w:rsidRPr="009C622B" w:rsidRDefault="009C622B" w:rsidP="009C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C622B">
              <w:rPr>
                <w:rFonts w:ascii="Times New Roman" w:eastAsia="Times New Roman" w:hAnsi="Times New Roman"/>
                <w:b/>
                <w:bCs/>
                <w:lang w:eastAsia="ru-RU"/>
              </w:rPr>
              <w:t>Выписка из гостиницы.</w:t>
            </w:r>
            <w:r w:rsidR="001323F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до вылета.</w:t>
            </w:r>
          </w:p>
          <w:p w14:paraId="67A5AE05" w14:textId="6F7C3676" w:rsidR="009C622B" w:rsidRPr="009C622B" w:rsidRDefault="009C622B" w:rsidP="009C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197182FF" w14:textId="5A11D2BA" w:rsidR="00F51649" w:rsidRPr="000923FF" w:rsidRDefault="009C622B" w:rsidP="009C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C622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95C3DF2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bookmarkEnd w:id="0"/>
    <w:p w14:paraId="095A420B" w14:textId="4B87F0F9" w:rsidR="00AA3466" w:rsidRPr="00AA3466" w:rsidRDefault="00AA3466" w:rsidP="00AA346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A3466">
        <w:rPr>
          <w:bCs/>
          <w:i/>
          <w:sz w:val="24"/>
          <w:szCs w:val="28"/>
          <w:lang w:val="ru-RU"/>
        </w:rPr>
        <w:t>Зимний вариант программы (с 16 ноября по 2</w:t>
      </w:r>
      <w:r w:rsidR="009C622B">
        <w:rPr>
          <w:bCs/>
          <w:i/>
          <w:sz w:val="24"/>
          <w:szCs w:val="28"/>
          <w:lang w:val="ru-RU"/>
        </w:rPr>
        <w:t>6</w:t>
      </w:r>
      <w:r w:rsidRPr="00AA3466">
        <w:rPr>
          <w:bCs/>
          <w:i/>
          <w:sz w:val="24"/>
          <w:szCs w:val="28"/>
          <w:lang w:val="ru-RU"/>
        </w:rPr>
        <w:t xml:space="preserve"> февраля</w:t>
      </w:r>
      <w:r w:rsidR="001323F9">
        <w:rPr>
          <w:bCs/>
          <w:i/>
          <w:sz w:val="24"/>
          <w:szCs w:val="28"/>
          <w:lang w:val="ru-RU"/>
        </w:rPr>
        <w:t>, кроме периода 22.12.2025–06.01.2026</w:t>
      </w:r>
      <w:r w:rsidRPr="00AA3466">
        <w:rPr>
          <w:bCs/>
          <w:i/>
          <w:sz w:val="24"/>
          <w:szCs w:val="28"/>
          <w:lang w:val="ru-RU"/>
        </w:rPr>
        <w:t>)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837"/>
      </w:tblGrid>
      <w:tr w:rsidR="00AA3466" w14:paraId="66CEAE12" w14:textId="77777777" w:rsidTr="00BE5BB4">
        <w:tc>
          <w:tcPr>
            <w:tcW w:w="4395" w:type="dxa"/>
            <w:shd w:val="clear" w:color="auto" w:fill="F2F2F2" w:themeFill="background1" w:themeFillShade="F2"/>
          </w:tcPr>
          <w:p w14:paraId="66A45BB6" w14:textId="77777777" w:rsidR="00AA3466" w:rsidRPr="00E816A9" w:rsidRDefault="00AA3466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A5F4C67" w14:textId="77777777" w:rsidR="00AA3466" w:rsidRPr="00156816" w:rsidRDefault="00AA3466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02EBDA" w14:textId="77777777" w:rsidR="00AA3466" w:rsidRPr="00156816" w:rsidRDefault="00AA3466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1C1EDB45" w14:textId="77777777" w:rsidR="00AA3466" w:rsidRPr="00156816" w:rsidRDefault="00AA3466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AA3466" w14:paraId="684FCB0D" w14:textId="77777777" w:rsidTr="00BE5BB4">
        <w:tc>
          <w:tcPr>
            <w:tcW w:w="4395" w:type="dxa"/>
          </w:tcPr>
          <w:p w14:paraId="21F8D7BC" w14:textId="77777777" w:rsidR="00AA3466" w:rsidRPr="00E816A9" w:rsidRDefault="00AA3466" w:rsidP="00BE5BB4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E816A9">
              <w:rPr>
                <w:bCs/>
                <w:color w:val="000000"/>
                <w:sz w:val="24"/>
                <w:szCs w:val="24"/>
              </w:rPr>
              <w:t>«Elysium Gallery»</w:t>
            </w:r>
            <w:r w:rsidRPr="00E816A9">
              <w:rPr>
                <w:bCs/>
                <w:color w:val="000000"/>
                <w:sz w:val="24"/>
                <w:szCs w:val="24"/>
                <w:lang w:val="ru-RU"/>
              </w:rPr>
              <w:t xml:space="preserve"> /</w:t>
            </w:r>
            <w:r>
              <w:rPr>
                <w:bCs/>
                <w:color w:val="000000"/>
                <w:sz w:val="24"/>
                <w:szCs w:val="24"/>
              </w:rPr>
              <w:t xml:space="preserve"> «Mandarin»</w:t>
            </w:r>
          </w:p>
        </w:tc>
        <w:tc>
          <w:tcPr>
            <w:tcW w:w="1842" w:type="dxa"/>
          </w:tcPr>
          <w:p w14:paraId="6279100D" w14:textId="6560468B" w:rsidR="00AA3466" w:rsidRPr="0015681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425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5969AADF" w14:textId="445CCB1B" w:rsidR="00AA3466" w:rsidRPr="0015681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313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</w:tcPr>
          <w:p w14:paraId="45CD1948" w14:textId="5FA91EC4" w:rsidR="00AA346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294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AA3466" w14:paraId="1F9C7989" w14:textId="77777777" w:rsidTr="00BE5BB4">
        <w:tc>
          <w:tcPr>
            <w:tcW w:w="4395" w:type="dxa"/>
          </w:tcPr>
          <w:p w14:paraId="582DA124" w14:textId="2400ED4C" w:rsidR="00AA3466" w:rsidRPr="00E816A9" w:rsidRDefault="00183972" w:rsidP="00BE5BB4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» 4*</w:t>
            </w:r>
          </w:p>
        </w:tc>
        <w:tc>
          <w:tcPr>
            <w:tcW w:w="1842" w:type="dxa"/>
          </w:tcPr>
          <w:p w14:paraId="698BBFBC" w14:textId="07C7E983" w:rsidR="00AA346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457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31479173" w14:textId="272BA1D7" w:rsidR="00AA346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338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</w:tcPr>
          <w:p w14:paraId="21A3AFD0" w14:textId="4FF9C1C5" w:rsidR="00AA346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319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AA3466" w14:paraId="59AF19E9" w14:textId="77777777" w:rsidTr="00BE5BB4">
        <w:tc>
          <w:tcPr>
            <w:tcW w:w="4395" w:type="dxa"/>
          </w:tcPr>
          <w:p w14:paraId="50EF2E5F" w14:textId="4AD8A8DD" w:rsidR="00AA3466" w:rsidRPr="00E816A9" w:rsidRDefault="00183972" w:rsidP="00BE5BB4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Plaza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» 4* / «Медиан» 4*</w:t>
            </w:r>
          </w:p>
        </w:tc>
        <w:tc>
          <w:tcPr>
            <w:tcW w:w="1842" w:type="dxa"/>
          </w:tcPr>
          <w:p w14:paraId="02D2D5CC" w14:textId="315736BE" w:rsidR="00AA346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519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6D609A12" w14:textId="4E6E16C6" w:rsidR="00AA346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375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</w:tcPr>
          <w:p w14:paraId="2E038FC4" w14:textId="3D8A8F13" w:rsidR="00AA3466" w:rsidRDefault="001323F9" w:rsidP="00BE5BB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332</w:t>
            </w:r>
            <w:r w:rsidR="009C622B"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A3466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4937B4DF" w14:textId="602C9C16" w:rsidR="001323F9" w:rsidRPr="00AA3466" w:rsidRDefault="001323F9" w:rsidP="001323F9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A3466">
        <w:rPr>
          <w:bCs/>
          <w:i/>
          <w:sz w:val="24"/>
          <w:szCs w:val="28"/>
          <w:lang w:val="ru-RU"/>
        </w:rPr>
        <w:lastRenderedPageBreak/>
        <w:t>Зимний вариант программы (</w:t>
      </w:r>
      <w:r>
        <w:rPr>
          <w:bCs/>
          <w:i/>
          <w:sz w:val="24"/>
          <w:szCs w:val="28"/>
          <w:lang w:val="ru-RU"/>
        </w:rPr>
        <w:t>период 22.12.2025–06.01.2026</w:t>
      </w:r>
      <w:r w:rsidRPr="00AA3466">
        <w:rPr>
          <w:bCs/>
          <w:i/>
          <w:sz w:val="24"/>
          <w:szCs w:val="28"/>
          <w:lang w:val="ru-RU"/>
        </w:rPr>
        <w:t>)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837"/>
      </w:tblGrid>
      <w:tr w:rsidR="001323F9" w14:paraId="73B0F344" w14:textId="77777777" w:rsidTr="00484497">
        <w:tc>
          <w:tcPr>
            <w:tcW w:w="4395" w:type="dxa"/>
            <w:shd w:val="clear" w:color="auto" w:fill="F2F2F2" w:themeFill="background1" w:themeFillShade="F2"/>
          </w:tcPr>
          <w:p w14:paraId="7922A4F4" w14:textId="77777777" w:rsidR="001323F9" w:rsidRPr="00E816A9" w:rsidRDefault="001323F9" w:rsidP="0048449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11F0B98" w14:textId="77777777" w:rsidR="001323F9" w:rsidRPr="00156816" w:rsidRDefault="001323F9" w:rsidP="0048449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F0C8FDF" w14:textId="77777777" w:rsidR="001323F9" w:rsidRPr="00156816" w:rsidRDefault="001323F9" w:rsidP="0048449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7FF84D0D" w14:textId="77777777" w:rsidR="001323F9" w:rsidRPr="00156816" w:rsidRDefault="001323F9" w:rsidP="0048449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1323F9" w14:paraId="2E912FD2" w14:textId="77777777" w:rsidTr="00484497">
        <w:tc>
          <w:tcPr>
            <w:tcW w:w="4395" w:type="dxa"/>
          </w:tcPr>
          <w:p w14:paraId="6671682B" w14:textId="77777777" w:rsidR="001323F9" w:rsidRPr="00E816A9" w:rsidRDefault="001323F9" w:rsidP="001323F9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E816A9">
              <w:rPr>
                <w:bCs/>
                <w:color w:val="000000"/>
                <w:sz w:val="24"/>
                <w:szCs w:val="24"/>
              </w:rPr>
              <w:t>«Elysium Gallery»</w:t>
            </w:r>
            <w:r w:rsidRPr="00E816A9">
              <w:rPr>
                <w:bCs/>
                <w:color w:val="000000"/>
                <w:sz w:val="24"/>
                <w:szCs w:val="24"/>
                <w:lang w:val="ru-RU"/>
              </w:rPr>
              <w:t xml:space="preserve"> /</w:t>
            </w:r>
            <w:r>
              <w:rPr>
                <w:bCs/>
                <w:color w:val="000000"/>
                <w:sz w:val="24"/>
                <w:szCs w:val="24"/>
              </w:rPr>
              <w:t xml:space="preserve"> «Mandarin»</w:t>
            </w:r>
          </w:p>
        </w:tc>
        <w:tc>
          <w:tcPr>
            <w:tcW w:w="1842" w:type="dxa"/>
          </w:tcPr>
          <w:p w14:paraId="27B62C30" w14:textId="3AE4DB55" w:rsidR="001323F9" w:rsidRPr="00156816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457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12C9FCDD" w14:textId="7E4C6D0E" w:rsidR="001323F9" w:rsidRPr="00156816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344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</w:tcPr>
          <w:p w14:paraId="69F67270" w14:textId="4DA1357C" w:rsidR="001323F9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294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1323F9" w14:paraId="7DBECAEA" w14:textId="77777777" w:rsidTr="00484497">
        <w:tc>
          <w:tcPr>
            <w:tcW w:w="4395" w:type="dxa"/>
          </w:tcPr>
          <w:p w14:paraId="12E44BCE" w14:textId="77777777" w:rsidR="001323F9" w:rsidRPr="00E816A9" w:rsidRDefault="001323F9" w:rsidP="001323F9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» 4*</w:t>
            </w:r>
          </w:p>
        </w:tc>
        <w:tc>
          <w:tcPr>
            <w:tcW w:w="1842" w:type="dxa"/>
          </w:tcPr>
          <w:p w14:paraId="5B3CE05F" w14:textId="761D29AC" w:rsidR="001323F9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488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497881BD" w14:textId="261DA008" w:rsidR="001323F9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363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</w:tcPr>
          <w:p w14:paraId="2F1618B6" w14:textId="7D6F3B7B" w:rsidR="001323F9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319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1323F9" w14:paraId="35AC14D8" w14:textId="77777777" w:rsidTr="00484497">
        <w:tc>
          <w:tcPr>
            <w:tcW w:w="4395" w:type="dxa"/>
          </w:tcPr>
          <w:p w14:paraId="1B7B7A2E" w14:textId="77777777" w:rsidR="001323F9" w:rsidRPr="00E816A9" w:rsidRDefault="001323F9" w:rsidP="001323F9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Plaza</w:t>
            </w:r>
            <w:proofErr w:type="spellEnd"/>
            <w:r w:rsidRPr="00183972">
              <w:rPr>
                <w:bCs/>
                <w:color w:val="000000"/>
                <w:sz w:val="24"/>
                <w:szCs w:val="24"/>
                <w:lang w:val="ru-RU"/>
              </w:rPr>
              <w:t>» 4* / «Медиан» 4*</w:t>
            </w:r>
          </w:p>
        </w:tc>
        <w:tc>
          <w:tcPr>
            <w:tcW w:w="1842" w:type="dxa"/>
          </w:tcPr>
          <w:p w14:paraId="6B0B0442" w14:textId="1D139012" w:rsidR="001323F9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575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20AF581B" w14:textId="1B569E88" w:rsidR="001323F9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407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</w:tcPr>
          <w:p w14:paraId="01D3CEAB" w14:textId="2CDA7D33" w:rsidR="001323F9" w:rsidRDefault="001323F9" w:rsidP="001323F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332</w:t>
            </w:r>
            <w:r w:rsidRPr="009C62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1C782BDE" w14:textId="48ADAE4B" w:rsidR="001323F9" w:rsidRPr="00F137B6" w:rsidRDefault="001323F9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C4A9CA1" w14:textId="77777777" w:rsidR="009C622B" w:rsidRPr="009C622B" w:rsidRDefault="009C622B" w:rsidP="009C62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(3 ночи);</w:t>
      </w:r>
    </w:p>
    <w:p w14:paraId="25678E6D" w14:textId="77777777" w:rsidR="009C622B" w:rsidRPr="009C622B" w:rsidRDefault="009C622B" w:rsidP="009C62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10CFBF72" w14:textId="77777777" w:rsidR="009C622B" w:rsidRPr="009C622B" w:rsidRDefault="009C622B" w:rsidP="009C62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0CF035B5" w14:textId="77777777" w:rsidR="009C622B" w:rsidRPr="009C622B" w:rsidRDefault="009C622B" w:rsidP="009C62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76492A8E" w14:textId="77777777" w:rsidR="009C622B" w:rsidRPr="009C622B" w:rsidRDefault="009C622B" w:rsidP="009C62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билеты;</w:t>
      </w:r>
    </w:p>
    <w:p w14:paraId="6FF28690" w14:textId="77777777" w:rsidR="009C622B" w:rsidRPr="009C622B" w:rsidRDefault="009C622B" w:rsidP="009C62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демонстрация процесса выпечки лаваша в </w:t>
      </w:r>
      <w:proofErr w:type="spellStart"/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>Гарни</w:t>
      </w:r>
      <w:proofErr w:type="spellEnd"/>
      <w:r w:rsidRPr="009C622B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D9E4CC5" w14:textId="12900DA6" w:rsidR="00605FA3" w:rsidRPr="00605FA3" w:rsidRDefault="00605FA3" w:rsidP="009C622B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6635D39" w14:textId="77777777" w:rsidR="00F60A5E" w:rsidRPr="00F60A5E" w:rsidRDefault="00F60A5E" w:rsidP="00F60A5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0CFC484D" w14:textId="77777777" w:rsidR="00F60A5E" w:rsidRPr="00F60A5E" w:rsidRDefault="00F60A5E" w:rsidP="00F60A5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456E575D" w14:textId="77777777" w:rsidR="00F60A5E" w:rsidRPr="00F60A5E" w:rsidRDefault="00F60A5E" w:rsidP="00F60A5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1A56C3" w14:textId="77777777" w:rsidR="00F60A5E" w:rsidRPr="00F60A5E" w:rsidRDefault="00F60A5E" w:rsidP="00F60A5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Еревану (при раннем прилете) – 10,0000 АМД/чел. (минимум 2 человека);</w:t>
      </w:r>
    </w:p>
    <w:p w14:paraId="4E7F57B9" w14:textId="77777777" w:rsidR="00F60A5E" w:rsidRPr="00F60A5E" w:rsidRDefault="00F60A5E" w:rsidP="00F60A5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новогодний ужин в ресторане:</w:t>
      </w:r>
    </w:p>
    <w:p w14:paraId="065528BB" w14:textId="77777777" w:rsidR="00F60A5E" w:rsidRPr="00F60A5E" w:rsidRDefault="00F60A5E" w:rsidP="00F60A5E">
      <w:pPr>
        <w:pStyle w:val="af0"/>
        <w:numPr>
          <w:ilvl w:val="1"/>
          <w:numId w:val="20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Tavern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(филиал на </w:t>
      </w: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Амиряна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): не музыкальный зал, купе – 125 долл./чел., мюзик-холл – 135 долл./чел.;</w:t>
      </w:r>
    </w:p>
    <w:p w14:paraId="0C083D38" w14:textId="77777777" w:rsidR="00F60A5E" w:rsidRPr="00F60A5E" w:rsidRDefault="00F60A5E" w:rsidP="00F60A5E">
      <w:pPr>
        <w:pStyle w:val="af0"/>
        <w:numPr>
          <w:ilvl w:val="1"/>
          <w:numId w:val="20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Tavern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(филиал на </w:t>
      </w: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Теряна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) – 165 долл./чел.;</w:t>
      </w:r>
    </w:p>
    <w:p w14:paraId="3321320F" w14:textId="77777777" w:rsidR="00F60A5E" w:rsidRPr="00F60A5E" w:rsidRDefault="00F60A5E" w:rsidP="00F60A5E">
      <w:pPr>
        <w:pStyle w:val="af0"/>
        <w:numPr>
          <w:ilvl w:val="1"/>
          <w:numId w:val="20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Livingston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335 долл./чел.;</w:t>
      </w:r>
    </w:p>
    <w:p w14:paraId="1B8A4371" w14:textId="77777777" w:rsidR="00F60A5E" w:rsidRPr="00F60A5E" w:rsidRDefault="00F60A5E" w:rsidP="00F60A5E">
      <w:pPr>
        <w:pStyle w:val="af0"/>
        <w:numPr>
          <w:ilvl w:val="1"/>
          <w:numId w:val="20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Seasons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: не музыкальный зал – 150 долл./чел., мюзик-холл – 165 долл./чел.;</w:t>
      </w:r>
    </w:p>
    <w:p w14:paraId="2249FF4C" w14:textId="77777777" w:rsidR="00F60A5E" w:rsidRPr="00F60A5E" w:rsidRDefault="00F60A5E" w:rsidP="00F60A5E">
      <w:pPr>
        <w:pStyle w:val="af0"/>
        <w:numPr>
          <w:ilvl w:val="1"/>
          <w:numId w:val="20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Sherep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195 долл./чел.;</w:t>
      </w:r>
    </w:p>
    <w:p w14:paraId="0BD3D7C3" w14:textId="77777777" w:rsidR="00F60A5E" w:rsidRPr="00F60A5E" w:rsidRDefault="00F60A5E" w:rsidP="00F60A5E">
      <w:pPr>
        <w:pStyle w:val="af0"/>
        <w:numPr>
          <w:ilvl w:val="1"/>
          <w:numId w:val="20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Seasons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Sweetland</w:t>
      </w:r>
      <w:proofErr w:type="spellEnd"/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106 долл./чел.;</w:t>
      </w:r>
    </w:p>
    <w:p w14:paraId="5908FC73" w14:textId="77777777" w:rsidR="00F60A5E" w:rsidRPr="00F60A5E" w:rsidRDefault="00F60A5E" w:rsidP="00F60A5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60A5E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41262D2F" w14:textId="77777777" w:rsidR="009C622B" w:rsidRPr="009C622B" w:rsidRDefault="009C622B" w:rsidP="009C622B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AFDF136" w14:textId="77777777" w:rsidR="00EE3C3C" w:rsidRDefault="00E816A9" w:rsidP="00EE3C3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 1 мая 2022 г. при въезде в Армению через воздушно-наземную границу туристам больше не требуется предъявлять сертификат о вакцинации от COVID-19 или отрицательный ПЦР-тест. Также с марта в Армении отменен масочный режим в закрытых помещениях.</w:t>
      </w:r>
    </w:p>
    <w:p w14:paraId="30A515DB" w14:textId="0D792144" w:rsidR="00E816A9" w:rsidRPr="00EE3C3C" w:rsidRDefault="00E816A9" w:rsidP="00EE3C3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E3C3C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A752027" w14:textId="081D30F9" w:rsidR="00072673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  <w:bookmarkStart w:id="1" w:name="_GoBack"/>
      <w:bookmarkEnd w:id="1"/>
    </w:p>
    <w:sectPr w:rsidR="00072673" w:rsidRPr="00E816A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BFA0" w14:textId="77777777" w:rsidR="00FA5B7E" w:rsidRDefault="00FA5B7E" w:rsidP="00CD1C11">
      <w:pPr>
        <w:spacing w:after="0" w:line="240" w:lineRule="auto"/>
      </w:pPr>
      <w:r>
        <w:separator/>
      </w:r>
    </w:p>
  </w:endnote>
  <w:endnote w:type="continuationSeparator" w:id="0">
    <w:p w14:paraId="4EF1B4A3" w14:textId="77777777" w:rsidR="00FA5B7E" w:rsidRDefault="00FA5B7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E22F2" w14:textId="77777777" w:rsidR="00FA5B7E" w:rsidRDefault="00FA5B7E" w:rsidP="00CD1C11">
      <w:pPr>
        <w:spacing w:after="0" w:line="240" w:lineRule="auto"/>
      </w:pPr>
      <w:r>
        <w:separator/>
      </w:r>
    </w:p>
  </w:footnote>
  <w:footnote w:type="continuationSeparator" w:id="0">
    <w:p w14:paraId="09299FA5" w14:textId="77777777" w:rsidR="00FA5B7E" w:rsidRDefault="00FA5B7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5CB4"/>
    <w:rsid w:val="00086F4E"/>
    <w:rsid w:val="0009061A"/>
    <w:rsid w:val="0009172F"/>
    <w:rsid w:val="000923FF"/>
    <w:rsid w:val="000A6189"/>
    <w:rsid w:val="000C58C8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23F9"/>
    <w:rsid w:val="00135A42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3972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4CA8"/>
    <w:rsid w:val="002D5DD4"/>
    <w:rsid w:val="002F52CE"/>
    <w:rsid w:val="003076D3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51D2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70BA"/>
    <w:rsid w:val="00421C59"/>
    <w:rsid w:val="004242F0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4E8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2E56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22B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4EE2"/>
    <w:rsid w:val="00A75ED1"/>
    <w:rsid w:val="00A908F4"/>
    <w:rsid w:val="00A94D5B"/>
    <w:rsid w:val="00A9690B"/>
    <w:rsid w:val="00A9753A"/>
    <w:rsid w:val="00AA3466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21AB"/>
    <w:rsid w:val="00BA07F0"/>
    <w:rsid w:val="00BA3269"/>
    <w:rsid w:val="00BA72E1"/>
    <w:rsid w:val="00BB0EA2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6F63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2614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27A46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C3C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0A5E"/>
    <w:rsid w:val="00F6342B"/>
    <w:rsid w:val="00F63A45"/>
    <w:rsid w:val="00F64732"/>
    <w:rsid w:val="00F6567C"/>
    <w:rsid w:val="00F670C3"/>
    <w:rsid w:val="00F67728"/>
    <w:rsid w:val="00F81924"/>
    <w:rsid w:val="00FA5B7E"/>
    <w:rsid w:val="00FB17FE"/>
    <w:rsid w:val="00FB1A8C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D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29</cp:revision>
  <cp:lastPrinted>2021-05-14T11:01:00Z</cp:lastPrinted>
  <dcterms:created xsi:type="dcterms:W3CDTF">2022-09-23T10:01:00Z</dcterms:created>
  <dcterms:modified xsi:type="dcterms:W3CDTF">2025-12-09T11:18:00Z</dcterms:modified>
</cp:coreProperties>
</file>