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B610AA8" w:rsidR="0035422F" w:rsidRPr="000E4677" w:rsidRDefault="003B48E7" w:rsidP="008C493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B48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Таинственная Армения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8C493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51C6F854" w:rsidR="00E816A9" w:rsidRPr="00E816A9" w:rsidRDefault="0043792D" w:rsidP="0043792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</w:t>
            </w:r>
            <w:r w:rsidRPr="0043792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м</w:t>
            </w:r>
            <w:r w:rsidRPr="0043792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ая по 23 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</w:t>
            </w:r>
            <w:r w:rsidRPr="0043792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ентября 2026 включительно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– заезды п</w:t>
            </w:r>
            <w:r w:rsidRPr="0043792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о понедельникам, чет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в</w:t>
            </w:r>
            <w:r w:rsidRPr="0043792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ергам, субботам и воскресеньям (с заменой </w:t>
            </w:r>
            <w:proofErr w:type="spellStart"/>
            <w:r w:rsidRPr="0043792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Хндзореска</w:t>
            </w:r>
            <w:proofErr w:type="spellEnd"/>
            <w:r w:rsidRPr="0043792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на водопад </w:t>
            </w:r>
            <w:proofErr w:type="spellStart"/>
            <w:r w:rsidRPr="0043792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Шаки</w:t>
            </w:r>
            <w:proofErr w:type="spellEnd"/>
            <w:r w:rsidRPr="0043792D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)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E816A9" w:rsidRPr="0035422F" w14:paraId="7AF4483C" w14:textId="77777777" w:rsidTr="0071588F">
        <w:trPr>
          <w:trHeight w:val="27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E2F2" w14:textId="204C7AA9" w:rsidR="00E816A9" w:rsidRPr="00E816A9" w:rsidRDefault="00E816A9" w:rsidP="00E816A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E816A9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 зависимости от дня прилета очередность экскурсий будет меняться.</w:t>
            </w:r>
          </w:p>
        </w:tc>
      </w:tr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8826" w14:textId="7943B97F" w:rsidR="008C493B" w:rsidRPr="008C493B" w:rsidRDefault="008C493B" w:rsidP="008C493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493B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30A2E499" w14:textId="71EAB8BB" w:rsidR="008C493B" w:rsidRPr="008C493B" w:rsidRDefault="008C493B" w:rsidP="008C493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гостиницу.</w:t>
            </w:r>
          </w:p>
          <w:p w14:paraId="33E8D4C1" w14:textId="74287CB3" w:rsidR="009711DE" w:rsidRPr="000923FF" w:rsidRDefault="008C493B" w:rsidP="008C493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493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ACCA" w14:textId="7DDADA87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F7E3A61" w14:textId="4FFE59B0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Гюмри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8377445" w14:textId="4A7CA09E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Это второй по величине город Армении, расположенный в 130 км от Еревана в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Шираксой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области.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Гюмри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является городом, который свято чтит народные традиции и отличается радушным гостеприимством. Прогулка по историческому району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Кумайри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, который является одним из немногих мест в Армении с сохранившейся аутентичной и подлинной городской армянской архитектурой. Район имеет более одной тысячи зданий XVIII и XIX века.</w:t>
            </w:r>
          </w:p>
          <w:p w14:paraId="50D39D84" w14:textId="4102A4F8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городского быта, Черной крепости и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огулка по старым улицам города.</w:t>
            </w:r>
          </w:p>
          <w:p w14:paraId="2505FC5F" w14:textId="1D7FA845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793F1083" w14:textId="207576B1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обратном пути посещение монастыря 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Аричаванк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, расположенного у подножия зап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адного склона горы Арагац.</w:t>
            </w:r>
          </w:p>
          <w:p w14:paraId="475735E8" w14:textId="03696881" w:rsidR="00CB37B0" w:rsidRPr="000923FF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84F2" w14:textId="013CD5FF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16431543" w14:textId="580B6C50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высокогорному озеру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еван – одному из чудес Армении.</w:t>
            </w:r>
          </w:p>
          <w:p w14:paraId="029FFBF3" w14:textId="45E8127C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Это ослепительно голубое озеро расположено высоко в горах. Холодное и величественное оно таит в себе необъяснимую красоту. Недаром многие художники выбирают Севан объектом своего искусства.</w:t>
            </w:r>
          </w:p>
          <w:p w14:paraId="379EF543" w14:textId="731A09AB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Айраванк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8EEF2C4" w14:textId="48F1D12B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Проезд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Норатус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4EB13A7" w14:textId="0A055D33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Село известно своим кладбищем, где сохранилось большое количество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хачкаров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. Большинство из них датируются XIII–XVII вв.</w:t>
            </w:r>
          </w:p>
          <w:p w14:paraId="01D1E8D4" w14:textId="2C90FE59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через 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Селимский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перевал на юг Армении с посещением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араван-сарая.</w:t>
            </w:r>
          </w:p>
          <w:p w14:paraId="1187BAF4" w14:textId="669CDDF9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Построенный в 1332 году князем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Чесаром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Орбеляном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, этот караван-сарай служил местом отдыха и защиты для караванов, следовавших по Великому Шелковому пути. Здесь купцы и путешественники находили укрытие от сурового климата гор и могли отдохнуть, продолжая свой путь с новыми силами. Караван-сарай является одним из немногих сохранившихся на Кавказе и представляет собой яркий пример древней инфраструктуры, поддерживавшей торговые и культурные связи.</w:t>
            </w:r>
          </w:p>
          <w:p w14:paraId="08E99A79" w14:textId="6C496AAE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тура к городу-курорту Джермук, славящемуся своими целебными гор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ячими минеральными источниками.</w:t>
            </w:r>
          </w:p>
          <w:p w14:paraId="644D0788" w14:textId="142953B5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 красоте Джермука известно далеко за пределами Армении. Недаром его называют зеленой жемчужиной Армении. Пронзительно сине-голубое небо, причудливые очертания горных хребтов, глухой шум горной реки в глубине каньона, обрамленного обрывками скал, прохладный пряный воздух, журчание горных ручьев, каскад искусственных прудов и белого от пены водопада, белые корпуса санаториев, утопающих в зелени раскидистых тополей и могучих голубых елей. Живописен каньон, ведущий к водопаду. Здесь можно сделать много прекрасных снимков на память об этом райском уголке.</w:t>
            </w:r>
          </w:p>
          <w:p w14:paraId="3D032B63" w14:textId="24E922FF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дегустацией армянского вина.</w:t>
            </w:r>
          </w:p>
          <w:p w14:paraId="61AF9AAE" w14:textId="1EF058DF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311A5857" w14:textId="28CDFBAD" w:rsidR="0098283F" w:rsidRPr="000923FF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0432" w14:textId="1A19E89D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A9A059B" w14:textId="10C67345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на север Армении к монастырям 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Лорийская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область), занесенным в список Все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мирного Наследия ЮНЕСКО (1996).</w:t>
            </w:r>
          </w:p>
          <w:p w14:paraId="68375848" w14:textId="5BFDF8C9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действующего монастыря 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 в.), расположенного на неболь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шом плато, окруженном ущельями.</w:t>
            </w:r>
          </w:p>
          <w:p w14:paraId="4FAEB18B" w14:textId="1D86D4AF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В X–XIII в. он был одним из духовных и культурных центров Армении. Здесь изучали гуманитарные науки, богословие, занимались живописью и переписыванием книг. Некоторое время в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Ахпатском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монастыре жил великий армянский поэт-ашуг Саят-Нова, о жизни которого Сергей Параджанов снял свой знаменитый фильм «Цвет Граната». Часть сьемок фильма проводились в этом монастыре.</w:t>
            </w:r>
          </w:p>
          <w:p w14:paraId="1191FACB" w14:textId="018F1E89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пещерно-кре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постного комплекса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-Парни.</w:t>
            </w:r>
          </w:p>
          <w:p w14:paraId="768BF4C2" w14:textId="6A0B12AB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оезд к крепости Ахтала.</w:t>
            </w:r>
          </w:p>
          <w:p w14:paraId="27EBE7F2" w14:textId="0B92A0BD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Монастырь Ахтала (XIII в.) уникален своими прекрасно сохранившимися фресками на стенах.</w:t>
            </w:r>
          </w:p>
          <w:p w14:paraId="20776CC5" w14:textId="132D3C8B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замка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Арамянца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EE4446B" w14:textId="28CA02AA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оезд к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 в.).</w:t>
            </w:r>
          </w:p>
          <w:p w14:paraId="2503AECF" w14:textId="4E44119A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В XII в. в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Санаине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существовала медицинская школа, где изучались анатомия и физиология человека.</w:t>
            </w:r>
          </w:p>
          <w:p w14:paraId="14E26449" w14:textId="24641C6F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197182FF" w14:textId="4C2DF4EC" w:rsidR="00F51649" w:rsidRPr="000923FF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DDE8" w14:textId="5F5AF8B3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6F872095" w14:textId="4003DE31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замку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Амберд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5F1B726" w14:textId="31BBD439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Замечательный памятник зодчества Средневековья (XI–XIII в.). Его сказочная громада вздымается над ущельем. С внешней стороны замок обнесен мощной крепостной стеной с башнями. Здесь все отвечает оборонительным целям. Архитектура проста и сурова.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Амберд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располагал двумя водохранилищами и своим водопроводом. Этот замок был родовым владением князей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Пахлавуни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. На территории крепости находится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Амбердская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церковь, построенная в 1026 г.</w:t>
            </w:r>
          </w:p>
          <w:p w14:paraId="3BA3BFE1" w14:textId="02BC9489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к высокогорному озеру Кари, расположенному в кратере между четырьмя острыми вершинами горы Арагац на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высоте 3207 м над уровнем моря.</w:t>
            </w:r>
          </w:p>
          <w:p w14:paraId="1AEB9D2D" w14:textId="302DA657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Гора Арагац – самая высокая вершина (4090 м) Армянского нагорья на территории современной Армении. Красивый ландшафт предгорья и горных поясов привлекают любителей путешествий и альпийских восхождений. Летом склоны покрываются зеленым цветистым ковром. Перед Вами открываются долины цветов, настолько живописных, что их </w:t>
            </w: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краски кажутся пределом яркости. Здесь встречаются лаванда и бальзамин, шалфей и альпийская ромашка, колокольчик, дикий укроп и другие альпийские травы.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Арагацкий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массив является неиссякаемым резервуаром и источником воды для Армении.</w:t>
            </w:r>
          </w:p>
          <w:p w14:paraId="0F034A25" w14:textId="283306EA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фабр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ики сухофруктов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экопродуктов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2A90FA4" w14:textId="493D2324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На фабрике производят сухофрукты без использования сахара и добавок, а также сушеные овощи и чипсы.</w:t>
            </w:r>
          </w:p>
          <w:p w14:paraId="2AA27DDA" w14:textId="652FBD4F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оездка к монастырю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Сагмосаванк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B448E34" w14:textId="56F4F2FA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Монастырь расположен на краю скалистого обрыва живописного ущелья реки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Касах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Сагмосаванк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ведет свое начало с 1215 г., когда по велению князя Ваче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Вачутяна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здесь был возведен храм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Сурб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Сион.</w:t>
            </w:r>
          </w:p>
          <w:p w14:paraId="4D0842E2" w14:textId="0E1A46A7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Алфавитного парка.</w:t>
            </w:r>
          </w:p>
          <w:p w14:paraId="3C35DFF9" w14:textId="42D48F12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Алфавитный парк представляет собой небольшую по площади равнину, на которой представлены все буквы армянского алфавита, высеченные из туфа, каждая величиной в человеческий рост. Буквы отличаются друг от друга художественным оформлением. Естественно разбросанные на плоскости среди вулканических камней они как бы вырастают из далекого прошлого. Туристы любят делать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селфи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на фоне первой буквы своего имени.</w:t>
            </w:r>
          </w:p>
          <w:p w14:paraId="5C14E76D" w14:textId="6F818957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2B2EA952" w14:textId="28FF25D4" w:rsidR="00F51649" w:rsidRPr="000923FF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23FF" w:rsidRPr="0035422F" w14:paraId="03C4243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8A61" w14:textId="1DC3D92E" w:rsidR="000923FF" w:rsidRDefault="000923FF" w:rsidP="00DB7B29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  <w:r w:rsidR="00DB7B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8BB9" w14:textId="6C7D8DCE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61A4618" w14:textId="0EFEB262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к необыкновенному по красоте языческому храму Солнц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 (I в. н. э.) в селении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7C1A8E0" w14:textId="20BCB997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Построенный в греческом стиле с характерной колоннадой со всех сторон и расположенный на вершине холма, разделенного от горной гряды глубоким ущельем, он представляет собой необыкновенное по своей красоте зрелище, кажущееся порой нереальным. Крепость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служила летней резиденцией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Аршакидского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царского двора. Разрушенный сильным землетрясением в 1679 г., позднее в 1969–1974 гг. храм был отреставрирован. Сохранилась часть стены крепости, окружавшей храм, а также руины царского дворца и бани. Интересен мозаичный пол предбанника и надпись на нем: «Работали, не получив ничего». Сохранились надписи на греческом языке, из которых следовало, что храм был построен в 77г. н. э. царем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Трдатом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I (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Аршакидская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династия).</w:t>
            </w:r>
          </w:p>
          <w:p w14:paraId="086165B7" w14:textId="45153475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Проезд к редчайшему высеченному в скале хр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аму Св.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(XII–XIII вв.).</w:t>
            </w:r>
          </w:p>
          <w:p w14:paraId="43EF5E1C" w14:textId="273B37D9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В переводе «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» означает «святое копье» в честь хранившегося в нем долгое время того самого копья, которым были прерваны мучения Христа на кресте (сейчас оно находится в музее Св. Эчмиадзина). Храм находится высоко в горах в живописном ущелье реки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. Это шедевр армянского средневекового зодчества. Он представляет собой комплекс, состоящий из главной церкви, двух пещерных церквей, а также усыпальницы. В первом пещерном храме из скалы бьет холодный родник, который по сей день является объектом поклонения. Считается, что его святая вода исцеляет от болезней, омолаживает, дает красоту. Монастырь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занесен в список Всемирного Наследия ЮНЕСКО (2000).</w:t>
            </w:r>
          </w:p>
          <w:p w14:paraId="267D8FDF" w14:textId="3F28ACC9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Демонстрация уникального процесса выпечки армянского хлеба – лав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аша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тоныре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сельском домике.</w:t>
            </w:r>
          </w:p>
          <w:p w14:paraId="724B59BF" w14:textId="4B993833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Возвр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ащение в Ереван.</w:t>
            </w:r>
          </w:p>
          <w:p w14:paraId="5C069662" w14:textId="4FBEF9AF" w:rsidR="000923FF" w:rsidRPr="000923FF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23FF" w:rsidRPr="0035422F" w14:paraId="0A46CAF8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4870" w14:textId="391B20D3" w:rsidR="000923FF" w:rsidRDefault="00DB7B2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0923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AC6E" w14:textId="4AAB3424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ице.</w:t>
            </w:r>
          </w:p>
          <w:p w14:paraId="421C2B73" w14:textId="268114F5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ело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колыбель виноделия.</w:t>
            </w:r>
          </w:p>
          <w:p w14:paraId="34354CC5" w14:textId="0C175F03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Во время недавних археологических раскопок в районе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Арени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(провинции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Вайоц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Дзор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) в современной Армении были найдены винодельня и 5 винных погребов 6100-летней давности. Археологи обнаружили контейнеры для отжима винограда, брожения и хранения вина, чаши для питья, виноградные лозы и семена. Эта винодельня и погреб по настоящее время признаны самыми древними в мире. Археологи предполагают, что наши ранние предки использовали вино в церемониях чествования умерших, а также, как дар размещенный внутри гробниц. Об этом свидетельствуют кувшины из-под вина и чарки, найденные в местах погребения. По мнению армянских и американских ученых это единственные в мире целостные и наиболее древние раскопки по производству вина (более 6000 лет). Эти находки указывают на высокий уровень виноделия в те времена на территории Армении.</w:t>
            </w:r>
          </w:p>
          <w:p w14:paraId="4ED1B37A" w14:textId="046E6151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«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Арени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»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дегустацией разных сортов вин.</w:t>
            </w:r>
          </w:p>
          <w:p w14:paraId="5837792A" w14:textId="785D6C50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 пути к 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Татевскому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монастырю посещение одного из самых кра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сивых водопадов Армении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Шаки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9C76756" w14:textId="3702751F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Продолжение пути к канатной дороге «К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рылья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Татев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444EB113" w14:textId="56F08778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Канатная дорога построена в 2010 г., является самой длинной канатной дорогой в мире. Она занесена в книгу рекордов Гиннесса.</w:t>
            </w:r>
          </w:p>
          <w:p w14:paraId="0EBBF952" w14:textId="18685484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Проезд на машине к 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Татевскому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монастырю (обр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атный путь по канатной дороге).</w:t>
            </w:r>
          </w:p>
          <w:p w14:paraId="49DC3896" w14:textId="193FD5EE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Татевский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 – один из уникальнейших и красивейших монастырей Армении. Он расположен у обрыва глубокого ущелья и окружен мощными укреплениями. Ансамбль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Татева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гармоничен с окружающим его горным пейзажем. В прошлом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Татев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был не только религиозным, но и политическим центром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Сюникского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княжества. В свое время здесь функционировал университет, в котором было 3 отделения: музыкальное (духовные песнопения), живописи и наук. В последнем изучались Ветхий и Новый Заветы, а также занимались переводами рукописей духовного и светского содержания с греческого и других языков. В комплекс входят центральный храм – храм Св.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Погос-Петрос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(895–906 гг.), а также церковь Св.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Григор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(1265 г.), покои настоятеля (XVII в.), трапезная с кухней и кладовыми, монастырские службы. Расположенные в ряд по периметру ограды жилье и хозяйственные помещения монастыря вписываются в общую композицию и придают всему комплексу своеобразие и величественность. В X в. монастырь насчитывал около 1000 обитателей, в том числе и ремесленников, в мастерских которых создавались произведения прикладного искусства, образцом которого являются тончайшей резьбы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хачкары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и двери храма.</w:t>
            </w:r>
          </w:p>
          <w:p w14:paraId="13D485F4" w14:textId="4F889E9F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древних пещер </w:t>
            </w:r>
            <w:proofErr w:type="spellStart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Хндзореск</w:t>
            </w:r>
            <w:proofErr w:type="spellEnd"/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, располож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енных на склонах горной долины.</w:t>
            </w:r>
          </w:p>
          <w:p w14:paraId="027DAAA6" w14:textId="3525549D" w:rsidR="0043792D" w:rsidRPr="0043792D" w:rsidRDefault="0043792D" w:rsidP="004379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Дома в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Хндзореске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были построены один на другом или строились вглубь пещер. Благодаря своей неприступной позиции, он был центром борьбы за независимость. Здесь похоронен лидер революции, сражавшийся в XVIII в. против Персии и Османской империи –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Мхитар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Спарапет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. В 1913 Старый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Хндзореск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был одним из самых крупных сел, где было 7 школ и 1800 домов, а также 4 церкви: Св.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Рипсиме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, Св.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Тадевос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Анапати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и Старая. Во времена СССР жители покинули свои кельи и перебрались в новый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Хндзореск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. Сейчас Старый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Хндзореск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стал одним из наиболее важных памятников старины в Армении. Через ущелье в </w:t>
            </w:r>
            <w:proofErr w:type="spellStart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>Хндзореске</w:t>
            </w:r>
            <w:proofErr w:type="spellEnd"/>
            <w:r w:rsidRPr="0043792D">
              <w:rPr>
                <w:rFonts w:ascii="Times New Roman" w:eastAsia="Times New Roman" w:hAnsi="Times New Roman"/>
                <w:bCs/>
                <w:lang w:eastAsia="ru-RU"/>
              </w:rPr>
              <w:t xml:space="preserve"> недавно был построен 100-метровый подвесной мост, с которого открывается великолепный вид на ущелье и окрестности.</w:t>
            </w:r>
          </w:p>
          <w:p w14:paraId="1AD2E239" w14:textId="56CA3397" w:rsidR="0043792D" w:rsidRPr="0043792D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4FF1CCB3" w14:textId="273D6F43" w:rsidR="000923FF" w:rsidRPr="000923FF" w:rsidRDefault="0043792D" w:rsidP="0043792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792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E816A9" w:rsidRPr="0035422F" w14:paraId="78C5B7D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3360" w14:textId="455711E0" w:rsidR="00E816A9" w:rsidRDefault="00E816A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8E7D" w14:textId="23E42EED" w:rsidR="008C493B" w:rsidRPr="008C493B" w:rsidRDefault="008C493B" w:rsidP="008C493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4BEF3DE0" w14:textId="293197C6" w:rsidR="008C493B" w:rsidRPr="008C493B" w:rsidRDefault="008C493B" w:rsidP="008C493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 до 12:00.</w:t>
            </w:r>
            <w:r w:rsidR="0043792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8C493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аэропорт за 2,5 часа до вылета.</w:t>
            </w:r>
          </w:p>
          <w:p w14:paraId="5715C224" w14:textId="3425A97F" w:rsidR="00E816A9" w:rsidRDefault="008C493B" w:rsidP="008C493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493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379E245F" w14:textId="6AD87893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0" w:name="_Hlk43730867"/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1418"/>
        <w:gridCol w:w="2126"/>
      </w:tblGrid>
      <w:tr w:rsidR="007640AD" w14:paraId="66660EEB" w14:textId="77777777" w:rsidTr="00305B3F">
        <w:tc>
          <w:tcPr>
            <w:tcW w:w="3686" w:type="dxa"/>
            <w:shd w:val="clear" w:color="auto" w:fill="F2F2F2" w:themeFill="background1" w:themeFillShade="F2"/>
          </w:tcPr>
          <w:p w14:paraId="510D6D8E" w14:textId="77777777" w:rsidR="007640AD" w:rsidRPr="00E816A9" w:rsidRDefault="007640AD" w:rsidP="00305B3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B30AFB7" w14:textId="77777777" w:rsidR="007640AD" w:rsidRPr="00156816" w:rsidRDefault="007640AD" w:rsidP="00305B3F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5D1ABC3" w14:textId="77777777" w:rsidR="007640AD" w:rsidRPr="00156816" w:rsidRDefault="007640AD" w:rsidP="00305B3F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7B73F18" w14:textId="77777777" w:rsidR="007640AD" w:rsidRPr="00156816" w:rsidRDefault="007640AD" w:rsidP="00305B3F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BFC3ABD" w14:textId="77777777" w:rsidR="007640AD" w:rsidRPr="00411928" w:rsidRDefault="007640AD" w:rsidP="00305B3F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 xml:space="preserve">CHILD </w:t>
            </w:r>
            <w:r>
              <w:rPr>
                <w:b/>
                <w:bCs/>
                <w:sz w:val="24"/>
                <w:szCs w:val="24"/>
                <w:lang w:val="ru-RU"/>
              </w:rPr>
              <w:t>(6-12 лет)</w:t>
            </w:r>
          </w:p>
        </w:tc>
      </w:tr>
      <w:tr w:rsidR="007640AD" w14:paraId="71372125" w14:textId="77777777" w:rsidTr="00305B3F">
        <w:tc>
          <w:tcPr>
            <w:tcW w:w="3686" w:type="dxa"/>
          </w:tcPr>
          <w:p w14:paraId="7457384A" w14:textId="2A156915" w:rsidR="007640AD" w:rsidRPr="00E816A9" w:rsidRDefault="007640AD" w:rsidP="007640AD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7640AD">
              <w:rPr>
                <w:bCs/>
                <w:color w:val="000000"/>
                <w:sz w:val="24"/>
                <w:szCs w:val="24"/>
              </w:rPr>
              <w:t>Elysium Gallery 3*, Mandarin</w:t>
            </w:r>
          </w:p>
        </w:tc>
        <w:tc>
          <w:tcPr>
            <w:tcW w:w="1417" w:type="dxa"/>
          </w:tcPr>
          <w:p w14:paraId="511776CD" w14:textId="401BF01C" w:rsidR="007640AD" w:rsidRPr="00156816" w:rsidRDefault="007640AD" w:rsidP="007640AD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1050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0C35837F" w14:textId="55C1089E" w:rsidR="007640AD" w:rsidRPr="00156816" w:rsidRDefault="007640AD" w:rsidP="007640AD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769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7C025DA0" w14:textId="428F2CFD" w:rsidR="007640AD" w:rsidRDefault="007640AD" w:rsidP="007640AD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663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01CEAFB3" w14:textId="0B226557" w:rsidR="007640AD" w:rsidRPr="00C549F4" w:rsidRDefault="007640AD" w:rsidP="007640AD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638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7640AD" w14:paraId="120C1332" w14:textId="77777777" w:rsidTr="00305B3F">
        <w:tc>
          <w:tcPr>
            <w:tcW w:w="3686" w:type="dxa"/>
          </w:tcPr>
          <w:p w14:paraId="6AFF6E58" w14:textId="242E183C" w:rsidR="007640AD" w:rsidRPr="00E816A9" w:rsidRDefault="007640AD" w:rsidP="007640AD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1417" w:type="dxa"/>
          </w:tcPr>
          <w:p w14:paraId="64391815" w14:textId="3ED8A950" w:rsidR="007640AD" w:rsidRDefault="007640AD" w:rsidP="007640AD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1200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7D5DD00A" w14:textId="4E10060B" w:rsidR="007640AD" w:rsidRDefault="007640AD" w:rsidP="007640AD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850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13031DDA" w14:textId="11671198" w:rsidR="007640AD" w:rsidRDefault="007640AD" w:rsidP="007640AD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725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799CDE60" w14:textId="1BF62DA8" w:rsidR="007640AD" w:rsidRPr="00AD2107" w:rsidRDefault="007640AD" w:rsidP="007640AD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700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7640AD" w14:paraId="5D1AA644" w14:textId="77777777" w:rsidTr="00305B3F">
        <w:tc>
          <w:tcPr>
            <w:tcW w:w="3686" w:type="dxa"/>
          </w:tcPr>
          <w:p w14:paraId="744924A0" w14:textId="617016C9" w:rsidR="007640AD" w:rsidRPr="00E816A9" w:rsidRDefault="007640AD" w:rsidP="007640AD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>Plaza</w:t>
            </w:r>
            <w:proofErr w:type="spellEnd"/>
            <w:r w:rsidRPr="007640AD">
              <w:rPr>
                <w:bCs/>
                <w:color w:val="000000"/>
                <w:sz w:val="24"/>
                <w:szCs w:val="24"/>
                <w:lang w:val="ru-RU"/>
              </w:rPr>
              <w:t xml:space="preserve"> 4*</w:t>
            </w:r>
          </w:p>
        </w:tc>
        <w:tc>
          <w:tcPr>
            <w:tcW w:w="1417" w:type="dxa"/>
          </w:tcPr>
          <w:p w14:paraId="350F088F" w14:textId="42887FE0" w:rsidR="007640AD" w:rsidRDefault="007640AD" w:rsidP="007640AD">
            <w:pPr>
              <w:pStyle w:val="af"/>
              <w:tabs>
                <w:tab w:val="left" w:pos="426"/>
              </w:tabs>
              <w:ind w:left="-105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1288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76" w:type="dxa"/>
          </w:tcPr>
          <w:p w14:paraId="1CC8284C" w14:textId="7DFCD7D0" w:rsidR="007640AD" w:rsidRDefault="007640AD" w:rsidP="007640AD">
            <w:pPr>
              <w:pStyle w:val="af"/>
              <w:tabs>
                <w:tab w:val="left" w:pos="426"/>
              </w:tabs>
              <w:ind w:left="-113" w:right="-104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950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</w:tcPr>
          <w:p w14:paraId="45BEB6FD" w14:textId="142FD2DA" w:rsidR="007640AD" w:rsidRDefault="007640AD" w:rsidP="007640AD">
            <w:pPr>
              <w:pStyle w:val="af"/>
              <w:tabs>
                <w:tab w:val="left" w:pos="426"/>
              </w:tabs>
              <w:ind w:left="-105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794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6" w:type="dxa"/>
          </w:tcPr>
          <w:p w14:paraId="407ED769" w14:textId="48460C4E" w:rsidR="007640AD" w:rsidRPr="00AD2107" w:rsidRDefault="007640AD" w:rsidP="007640AD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769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bookmarkEnd w:id="0"/>
    </w:tbl>
    <w:p w14:paraId="5C372089" w14:textId="6E80837E" w:rsidR="00C73586" w:rsidRPr="00F137B6" w:rsidRDefault="00C73586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73FC283" w14:textId="46F69EDD" w:rsidR="003B48E7" w:rsidRPr="003B48E7" w:rsidRDefault="003B48E7" w:rsidP="003B48E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(</w:t>
      </w:r>
      <w:r w:rsidR="008C493B">
        <w:rPr>
          <w:rFonts w:ascii="Times New Roman" w:eastAsia="Times New Roman" w:hAnsi="Times New Roman"/>
          <w:color w:val="000000"/>
          <w:szCs w:val="24"/>
          <w:lang w:eastAsia="ru-RU"/>
        </w:rPr>
        <w:t>7</w:t>
      </w:r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ночей);</w:t>
      </w:r>
    </w:p>
    <w:p w14:paraId="641624C8" w14:textId="77777777" w:rsidR="003B48E7" w:rsidRPr="003B48E7" w:rsidRDefault="003B48E7" w:rsidP="003B48E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</w:p>
    <w:p w14:paraId="408DFCF9" w14:textId="77777777" w:rsidR="003B48E7" w:rsidRPr="003B48E7" w:rsidRDefault="003B48E7" w:rsidP="003B48E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222EC103" w14:textId="77777777" w:rsidR="003B48E7" w:rsidRPr="003B48E7" w:rsidRDefault="003B48E7" w:rsidP="003B48E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гида;</w:t>
      </w:r>
    </w:p>
    <w:p w14:paraId="76AF60C9" w14:textId="77777777" w:rsidR="003B48E7" w:rsidRPr="003B48E7" w:rsidRDefault="003B48E7" w:rsidP="003B48E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 по программе;</w:t>
      </w:r>
    </w:p>
    <w:p w14:paraId="4120F0E9" w14:textId="77777777" w:rsidR="003B48E7" w:rsidRPr="003B48E7" w:rsidRDefault="003B48E7" w:rsidP="003B48E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билет на канатную дорогу «Крылья </w:t>
      </w:r>
      <w:proofErr w:type="spellStart"/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>Татев</w:t>
      </w:r>
      <w:proofErr w:type="spellEnd"/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>» (обратный путь);</w:t>
      </w:r>
    </w:p>
    <w:p w14:paraId="27C6F815" w14:textId="77777777" w:rsidR="003B48E7" w:rsidRPr="003B48E7" w:rsidRDefault="003B48E7" w:rsidP="003B48E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мастер-классы по программе;</w:t>
      </w:r>
    </w:p>
    <w:p w14:paraId="17280484" w14:textId="51C82DA5" w:rsidR="003B48E7" w:rsidRDefault="003B48E7" w:rsidP="003B48E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B48E7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078BE764" w14:textId="77777777" w:rsidR="003B48E7" w:rsidRPr="003B48E7" w:rsidRDefault="003B48E7" w:rsidP="003B48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7C7A2A8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0B7BE42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14:paraId="740A986E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35859939" w14:textId="6D62B555" w:rsidR="00DB7B2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3BCC359" w14:textId="77777777" w:rsidR="00214B64" w:rsidRPr="00214B64" w:rsidRDefault="00214B64" w:rsidP="00214B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bookmarkStart w:id="1" w:name="_GoBack"/>
      <w:r w:rsidRPr="00214B64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bookmarkEnd w:id="1"/>
    <w:p w14:paraId="3B9F14BC" w14:textId="77777777" w:rsidR="00214B64" w:rsidRPr="00214B64" w:rsidRDefault="00214B64" w:rsidP="00214B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B64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0EB3D3F" w14:textId="77777777" w:rsidR="00214B64" w:rsidRPr="00214B64" w:rsidRDefault="00214B64" w:rsidP="00214B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B64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0A752027" w14:textId="2B0A97DA" w:rsidR="00072673" w:rsidRPr="00214B64" w:rsidRDefault="00214B64" w:rsidP="00214B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4B64">
        <w:rPr>
          <w:rFonts w:ascii="Times New Roman" w:eastAsia="Times New Roman" w:hAnsi="Times New Roman"/>
          <w:color w:val="000000"/>
          <w:szCs w:val="24"/>
          <w:lang w:eastAsia="ru-RU"/>
        </w:rPr>
        <w:t>Возможна замена указанных отелей на аналогичные.</w:t>
      </w:r>
    </w:p>
    <w:sectPr w:rsidR="00072673" w:rsidRPr="00214B64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8E15" w14:textId="77777777" w:rsidR="00D05346" w:rsidRDefault="00D05346" w:rsidP="00CD1C11">
      <w:pPr>
        <w:spacing w:after="0" w:line="240" w:lineRule="auto"/>
      </w:pPr>
      <w:r>
        <w:separator/>
      </w:r>
    </w:p>
  </w:endnote>
  <w:endnote w:type="continuationSeparator" w:id="0">
    <w:p w14:paraId="4C4A754A" w14:textId="77777777" w:rsidR="00D05346" w:rsidRDefault="00D0534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DCCFD" w14:textId="77777777" w:rsidR="00D05346" w:rsidRDefault="00D05346" w:rsidP="00CD1C11">
      <w:pPr>
        <w:spacing w:after="0" w:line="240" w:lineRule="auto"/>
      </w:pPr>
      <w:r>
        <w:separator/>
      </w:r>
    </w:p>
  </w:footnote>
  <w:footnote w:type="continuationSeparator" w:id="0">
    <w:p w14:paraId="314A16FD" w14:textId="77777777" w:rsidR="00D05346" w:rsidRDefault="00D0534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816"/>
    <w:rsid w:val="00163FDF"/>
    <w:rsid w:val="00164510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14B64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0741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3792D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10BB"/>
    <w:rsid w:val="005D56DC"/>
    <w:rsid w:val="005E275C"/>
    <w:rsid w:val="005E7649"/>
    <w:rsid w:val="005F1B0A"/>
    <w:rsid w:val="00600EB9"/>
    <w:rsid w:val="00613C6D"/>
    <w:rsid w:val="00624EF7"/>
    <w:rsid w:val="006408E8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53097"/>
    <w:rsid w:val="00763AB1"/>
    <w:rsid w:val="007640AD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C1A80"/>
    <w:rsid w:val="008C493B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1CF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54DC4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0534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E3CA6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22</cp:revision>
  <cp:lastPrinted>2021-05-14T11:01:00Z</cp:lastPrinted>
  <dcterms:created xsi:type="dcterms:W3CDTF">2022-09-23T10:01:00Z</dcterms:created>
  <dcterms:modified xsi:type="dcterms:W3CDTF">2026-01-21T14:55:00Z</dcterms:modified>
</cp:coreProperties>
</file>