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3B4112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03259BBE" w:rsidR="00831D5F" w:rsidRDefault="00212D47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212D47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Комплекс «Сестрорецкий Рубеж»</w:t>
            </w:r>
            <w:r w:rsidR="0015426F" w:rsidRPr="0015426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1 день</w:t>
            </w:r>
          </w:p>
          <w:p w14:paraId="28ED93F2" w14:textId="0928456D" w:rsidR="00831D5F" w:rsidRPr="004D7FDA" w:rsidRDefault="00831D5F" w:rsidP="00212D47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212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</w:t>
            </w:r>
            <w:r w:rsidR="005012AD" w:rsidRPr="005012A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школьных 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212D47" w:rsidRPr="0035422F" w14:paraId="1CBDC953" w14:textId="77777777" w:rsidTr="003B4112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0E6AA" w14:textId="2757BCDD" w:rsidR="00212D47" w:rsidRPr="00212D47" w:rsidRDefault="00212D47" w:rsidP="00A3330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8"/>
                <w:lang w:eastAsia="ru-RU"/>
              </w:rPr>
            </w:pPr>
            <w:r w:rsidRPr="00212D4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Автобусная тематическая экскурсия для школьников 4-11 классов с выездом в выставочный комплекс «</w:t>
            </w:r>
            <w:proofErr w:type="spellStart"/>
            <w:r w:rsidR="00A333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212D4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естрорецкий</w:t>
            </w:r>
            <w:proofErr w:type="spellEnd"/>
            <w:r w:rsidRPr="00212D4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рубеж».</w:t>
            </w:r>
          </w:p>
        </w:tc>
      </w:tr>
    </w:tbl>
    <w:p w14:paraId="237920F4" w14:textId="1ED3370B" w:rsidR="00074545" w:rsidRDefault="00074545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</w:p>
    <w:tbl>
      <w:tblPr>
        <w:tblStyle w:val="af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074545" w14:paraId="3CF516D2" w14:textId="77777777" w:rsidTr="003B4112">
        <w:tc>
          <w:tcPr>
            <w:tcW w:w="9917" w:type="dxa"/>
          </w:tcPr>
          <w:p w14:paraId="28527C2E" w14:textId="77777777" w:rsidR="00074545" w:rsidRPr="00F166B4" w:rsidRDefault="00074545" w:rsidP="0007454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Экскурсия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Сестрорецкий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рубеж».</w:t>
            </w:r>
          </w:p>
          <w:p w14:paraId="7F72AB14" w14:textId="77777777" w:rsidR="00074545" w:rsidRPr="00F166B4" w:rsidRDefault="00074545" w:rsidP="000745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F166B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Во время автобусной экскурсии экскурсовод расскажет школьникам о уникальных местах Карельского перешейка и о воинской славе этих мест. Интерактивная экскурсия для детей проходит в интересной и увлекательной игровой форме. Здесь школьники весело и с пользой проводят время на свежем воздухе. Программа проходит на территории комплекса «</w:t>
            </w:r>
            <w:proofErr w:type="spellStart"/>
            <w:r w:rsidRPr="00F166B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Сестрорецкий</w:t>
            </w:r>
            <w:proofErr w:type="spellEnd"/>
            <w:r w:rsidRPr="00F166B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рубеж». Полностью восстановленный артиллерийский полукапонир является центральным объектом комплекса. На экскурсионной программе ребята узнают об истории вооруженных конфликтов, все о </w:t>
            </w:r>
            <w:proofErr w:type="spellStart"/>
            <w:r w:rsidRPr="00F166B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ДОТах</w:t>
            </w:r>
            <w:proofErr w:type="spellEnd"/>
            <w:r w:rsidRPr="00F166B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и многое другое. Посетив военных достопримечательности, школьники поучаствуют в военных заданиях и получат военные навыки.</w:t>
            </w:r>
          </w:p>
          <w:p w14:paraId="6D1A0B35" w14:textId="77777777" w:rsidR="00074545" w:rsidRPr="00F166B4" w:rsidRDefault="00074545" w:rsidP="0007454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6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Экскурсионна</w:t>
            </w:r>
            <w:bookmarkStart w:id="0" w:name="_GoBack"/>
            <w:bookmarkEnd w:id="0"/>
            <w:r w:rsidRPr="00F166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 военно-развлекательная интерактивна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 игра на территории комплекса.</w:t>
            </w:r>
          </w:p>
          <w:p w14:paraId="1B2CF4A8" w14:textId="77777777" w:rsidR="00074545" w:rsidRPr="00F166B4" w:rsidRDefault="00074545" w:rsidP="000745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F166B4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Получив обмундирование, школьники будут выполнять основные команды строевой подготовки, участвовать в боевых задачах: разведка боем, метание, эвакуация, прохождение полосы препятствий, учебные стрельбы.</w:t>
            </w:r>
          </w:p>
          <w:p w14:paraId="26B28303" w14:textId="77777777" w:rsidR="00074545" w:rsidRPr="00F166B4" w:rsidRDefault="00074545" w:rsidP="0007454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Военно-полевая кухня.</w:t>
            </w:r>
          </w:p>
          <w:p w14:paraId="5976D894" w14:textId="77777777" w:rsidR="0077079E" w:rsidRPr="003B4112" w:rsidRDefault="00074545" w:rsidP="003B41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3B411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Солдатская каша с тушенкой, чай с сушками.</w:t>
            </w:r>
          </w:p>
          <w:p w14:paraId="518D835B" w14:textId="01F2C4DC" w:rsidR="00074545" w:rsidRPr="000B69F6" w:rsidRDefault="00074545" w:rsidP="0077079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69F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Продолжительность: 7 часов.</w:t>
            </w:r>
          </w:p>
        </w:tc>
      </w:tr>
    </w:tbl>
    <w:p w14:paraId="79B9E202" w14:textId="4E6C0044" w:rsidR="009B64ED" w:rsidRPr="00074545" w:rsidRDefault="009B64ED" w:rsidP="00074545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bookmarkStart w:id="1" w:name="_Hlk45711510"/>
      <w:bookmarkStart w:id="2" w:name="_Hlk45711422"/>
      <w:bookmarkStart w:id="3" w:name="_Hlk43742582"/>
      <w:bookmarkStart w:id="4" w:name="_Hlk43730867"/>
    </w:p>
    <w:p w14:paraId="43B757A1" w14:textId="42E659EF" w:rsidR="00E86C5D" w:rsidRDefault="004A6356" w:rsidP="003B4112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E86C5D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 в рублях</w:t>
      </w:r>
      <w:bookmarkEnd w:id="1"/>
      <w:bookmarkEnd w:id="2"/>
      <w:bookmarkEnd w:id="3"/>
      <w:bookmarkEnd w:id="4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2410"/>
        <w:gridCol w:w="1418"/>
        <w:gridCol w:w="1559"/>
        <w:gridCol w:w="1559"/>
        <w:gridCol w:w="1559"/>
        <w:gridCol w:w="1418"/>
      </w:tblGrid>
      <w:tr w:rsidR="00F166B4" w:rsidRPr="00D8362D" w14:paraId="48ED62A3" w14:textId="77777777" w:rsidTr="003B4112"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3C450EE8" w14:textId="77777777" w:rsidR="00F166B4" w:rsidRPr="00D8362D" w:rsidRDefault="00F166B4" w:rsidP="00DF260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Заезды</w:t>
            </w:r>
          </w:p>
        </w:tc>
        <w:tc>
          <w:tcPr>
            <w:tcW w:w="7513" w:type="dxa"/>
            <w:gridSpan w:val="5"/>
            <w:shd w:val="clear" w:color="auto" w:fill="F2F2F2" w:themeFill="background1" w:themeFillShade="F2"/>
          </w:tcPr>
          <w:p w14:paraId="40599D1E" w14:textId="40A7E7E5" w:rsidR="00F166B4" w:rsidRPr="00D8362D" w:rsidRDefault="00F166B4" w:rsidP="00DE556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Стоимость в зависимости от численности групп</w:t>
            </w:r>
            <w:r w:rsidR="00DE5562">
              <w:rPr>
                <w:b/>
                <w:bCs/>
                <w:sz w:val="24"/>
                <w:szCs w:val="24"/>
                <w:lang w:val="ru-RU"/>
              </w:rPr>
              <w:t>ы</w:t>
            </w:r>
          </w:p>
        </w:tc>
      </w:tr>
      <w:tr w:rsidR="00F166B4" w:rsidRPr="00D8362D" w14:paraId="1984EC5A" w14:textId="77777777" w:rsidTr="003B4112">
        <w:tc>
          <w:tcPr>
            <w:tcW w:w="2410" w:type="dxa"/>
            <w:vMerge/>
            <w:shd w:val="clear" w:color="auto" w:fill="F2F2F2" w:themeFill="background1" w:themeFillShade="F2"/>
          </w:tcPr>
          <w:p w14:paraId="55EDDFC7" w14:textId="77777777" w:rsidR="00F166B4" w:rsidRPr="00D8362D" w:rsidRDefault="00F166B4" w:rsidP="00DF2602">
            <w:pPr>
              <w:pStyle w:val="af"/>
              <w:tabs>
                <w:tab w:val="left" w:pos="426"/>
              </w:tabs>
              <w:ind w:right="-143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1AEC9F5" w14:textId="06F37E0B" w:rsidR="00F166B4" w:rsidRDefault="00F166B4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15-1</w:t>
            </w:r>
            <w:r w:rsidR="00F315EF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  <w:p w14:paraId="49868EB9" w14:textId="77777777" w:rsidR="00F166B4" w:rsidRPr="00D8362D" w:rsidRDefault="00F166B4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+1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A1E3D6D" w14:textId="77777777" w:rsidR="00F166B4" w:rsidRPr="00D8362D" w:rsidRDefault="00F166B4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20-24</w:t>
            </w:r>
          </w:p>
          <w:p w14:paraId="05275FDC" w14:textId="77777777" w:rsidR="00F166B4" w:rsidRPr="00D8362D" w:rsidRDefault="00F166B4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+2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295258E" w14:textId="77777777" w:rsidR="00F166B4" w:rsidRPr="00D8362D" w:rsidRDefault="00F166B4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25-29</w:t>
            </w:r>
          </w:p>
          <w:p w14:paraId="3ECE9FFD" w14:textId="77777777" w:rsidR="00F166B4" w:rsidRPr="00D8362D" w:rsidRDefault="00F166B4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+2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7DC79DD" w14:textId="77777777" w:rsidR="00F166B4" w:rsidRPr="00D8362D" w:rsidRDefault="00F166B4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30-34</w:t>
            </w:r>
          </w:p>
          <w:p w14:paraId="003BDBAC" w14:textId="77777777" w:rsidR="00F166B4" w:rsidRPr="00D8362D" w:rsidRDefault="00F166B4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+3 б/пл.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366F46F" w14:textId="77777777" w:rsidR="00F166B4" w:rsidRPr="00D8362D" w:rsidRDefault="00F166B4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35-40</w:t>
            </w:r>
          </w:p>
          <w:p w14:paraId="6FBBFA79" w14:textId="77777777" w:rsidR="00F166B4" w:rsidRPr="00D8362D" w:rsidRDefault="00F166B4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+3 б/пл.</w:t>
            </w:r>
          </w:p>
        </w:tc>
      </w:tr>
      <w:tr w:rsidR="00721055" w:rsidRPr="00D8362D" w14:paraId="1FBFB1D7" w14:textId="77777777" w:rsidTr="003B4112">
        <w:tc>
          <w:tcPr>
            <w:tcW w:w="2410" w:type="dxa"/>
          </w:tcPr>
          <w:p w14:paraId="4DC9441A" w14:textId="5BF66005" w:rsidR="00721055" w:rsidRPr="00F315EF" w:rsidRDefault="00F46C9A" w:rsidP="00F46C9A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sz w:val="22"/>
                <w:szCs w:val="24"/>
                <w:lang w:val="ru-RU"/>
              </w:rPr>
            </w:pPr>
            <w:r w:rsidRPr="00F315EF">
              <w:rPr>
                <w:bCs/>
                <w:sz w:val="22"/>
                <w:szCs w:val="24"/>
                <w:lang w:val="ru-RU"/>
              </w:rPr>
              <w:t>12</w:t>
            </w:r>
            <w:r w:rsidR="00721055" w:rsidRPr="00F315EF">
              <w:rPr>
                <w:bCs/>
                <w:sz w:val="22"/>
                <w:szCs w:val="24"/>
                <w:lang w:val="ru-RU"/>
              </w:rPr>
              <w:t>.</w:t>
            </w:r>
            <w:r w:rsidRPr="00F315EF">
              <w:rPr>
                <w:bCs/>
                <w:sz w:val="22"/>
                <w:szCs w:val="24"/>
                <w:lang w:val="ru-RU"/>
              </w:rPr>
              <w:t>09</w:t>
            </w:r>
            <w:r w:rsidR="00721055" w:rsidRPr="00F315EF">
              <w:rPr>
                <w:bCs/>
                <w:sz w:val="22"/>
                <w:szCs w:val="24"/>
                <w:lang w:val="ru-RU"/>
              </w:rPr>
              <w:t>.23–15.04.24</w:t>
            </w:r>
          </w:p>
        </w:tc>
        <w:tc>
          <w:tcPr>
            <w:tcW w:w="1418" w:type="dxa"/>
            <w:vAlign w:val="center"/>
          </w:tcPr>
          <w:p w14:paraId="3D466712" w14:textId="64C41C37" w:rsidR="00721055" w:rsidRPr="00721055" w:rsidRDefault="00721055" w:rsidP="00721055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21055">
              <w:rPr>
                <w:b/>
                <w:bCs/>
                <w:iCs/>
                <w:sz w:val="22"/>
                <w:szCs w:val="22"/>
              </w:rPr>
              <w:t>2400</w:t>
            </w:r>
          </w:p>
        </w:tc>
        <w:tc>
          <w:tcPr>
            <w:tcW w:w="1559" w:type="dxa"/>
            <w:vAlign w:val="center"/>
          </w:tcPr>
          <w:p w14:paraId="50ECFE45" w14:textId="527B5102" w:rsidR="00721055" w:rsidRPr="00721055" w:rsidRDefault="00721055" w:rsidP="00721055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21055">
              <w:rPr>
                <w:b/>
                <w:bCs/>
                <w:iCs/>
                <w:sz w:val="22"/>
                <w:szCs w:val="22"/>
              </w:rPr>
              <w:t>2700</w:t>
            </w:r>
          </w:p>
        </w:tc>
        <w:tc>
          <w:tcPr>
            <w:tcW w:w="1559" w:type="dxa"/>
            <w:vAlign w:val="center"/>
          </w:tcPr>
          <w:p w14:paraId="2EE38A03" w14:textId="5FDF8A33" w:rsidR="00721055" w:rsidRPr="00721055" w:rsidRDefault="00721055" w:rsidP="00721055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21055">
              <w:rPr>
                <w:b/>
                <w:bCs/>
                <w:iCs/>
                <w:sz w:val="22"/>
                <w:szCs w:val="22"/>
              </w:rPr>
              <w:t>2500</w:t>
            </w:r>
          </w:p>
        </w:tc>
        <w:tc>
          <w:tcPr>
            <w:tcW w:w="1559" w:type="dxa"/>
            <w:vAlign w:val="center"/>
          </w:tcPr>
          <w:p w14:paraId="6A3272F9" w14:textId="1DC5A384" w:rsidR="00721055" w:rsidRPr="00721055" w:rsidRDefault="00721055" w:rsidP="00721055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21055">
              <w:rPr>
                <w:b/>
                <w:bCs/>
                <w:iCs/>
                <w:sz w:val="22"/>
                <w:szCs w:val="22"/>
              </w:rPr>
              <w:t>2300</w:t>
            </w:r>
          </w:p>
        </w:tc>
        <w:tc>
          <w:tcPr>
            <w:tcW w:w="1418" w:type="dxa"/>
            <w:vAlign w:val="center"/>
          </w:tcPr>
          <w:p w14:paraId="2C71AB27" w14:textId="421EC264" w:rsidR="00721055" w:rsidRPr="00721055" w:rsidRDefault="00721055" w:rsidP="00721055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21055">
              <w:rPr>
                <w:b/>
                <w:bCs/>
                <w:iCs/>
                <w:sz w:val="22"/>
                <w:szCs w:val="22"/>
              </w:rPr>
              <w:t>2200</w:t>
            </w:r>
          </w:p>
        </w:tc>
      </w:tr>
      <w:tr w:rsidR="00F315EF" w:rsidRPr="00D8362D" w14:paraId="34DFC0C8" w14:textId="77777777" w:rsidTr="003B4112">
        <w:tc>
          <w:tcPr>
            <w:tcW w:w="2410" w:type="dxa"/>
          </w:tcPr>
          <w:p w14:paraId="2D55CEA5" w14:textId="46427B9C" w:rsidR="00F315EF" w:rsidRPr="00F315EF" w:rsidRDefault="00F315EF" w:rsidP="00F315EF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sz w:val="22"/>
                <w:szCs w:val="24"/>
                <w:lang w:val="ru-RU"/>
              </w:rPr>
            </w:pPr>
            <w:r>
              <w:rPr>
                <w:bCs/>
                <w:sz w:val="22"/>
                <w:szCs w:val="24"/>
                <w:lang w:val="ru-RU"/>
              </w:rPr>
              <w:t>16.04.24–14.10.24</w:t>
            </w:r>
          </w:p>
        </w:tc>
        <w:tc>
          <w:tcPr>
            <w:tcW w:w="1418" w:type="dxa"/>
            <w:vAlign w:val="center"/>
          </w:tcPr>
          <w:p w14:paraId="4FE55ADE" w14:textId="14BCAD7A" w:rsidR="00F315EF" w:rsidRPr="00F315EF" w:rsidRDefault="00F315EF" w:rsidP="00F315EF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315EF">
              <w:rPr>
                <w:b/>
                <w:bCs/>
                <w:iCs/>
                <w:sz w:val="22"/>
                <w:szCs w:val="22"/>
              </w:rPr>
              <w:t>3100</w:t>
            </w:r>
          </w:p>
        </w:tc>
        <w:tc>
          <w:tcPr>
            <w:tcW w:w="1559" w:type="dxa"/>
            <w:vAlign w:val="center"/>
          </w:tcPr>
          <w:p w14:paraId="2CDBE911" w14:textId="2557D6AC" w:rsidR="00F315EF" w:rsidRPr="00F315EF" w:rsidRDefault="00F315EF" w:rsidP="00F315EF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315EF">
              <w:rPr>
                <w:b/>
                <w:bCs/>
                <w:iCs/>
                <w:sz w:val="22"/>
                <w:szCs w:val="22"/>
              </w:rPr>
              <w:t>3300</w:t>
            </w:r>
          </w:p>
        </w:tc>
        <w:tc>
          <w:tcPr>
            <w:tcW w:w="1559" w:type="dxa"/>
            <w:vAlign w:val="center"/>
          </w:tcPr>
          <w:p w14:paraId="0B88F2AB" w14:textId="35D3448D" w:rsidR="00F315EF" w:rsidRPr="00F315EF" w:rsidRDefault="00F315EF" w:rsidP="00F315EF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315EF">
              <w:rPr>
                <w:b/>
                <w:bCs/>
                <w:iCs/>
                <w:sz w:val="22"/>
                <w:szCs w:val="22"/>
              </w:rPr>
              <w:t>2900</w:t>
            </w:r>
          </w:p>
        </w:tc>
        <w:tc>
          <w:tcPr>
            <w:tcW w:w="1559" w:type="dxa"/>
            <w:vAlign w:val="center"/>
          </w:tcPr>
          <w:p w14:paraId="1FD23428" w14:textId="04F99451" w:rsidR="00F315EF" w:rsidRPr="00F315EF" w:rsidRDefault="00F315EF" w:rsidP="00F315EF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315EF">
              <w:rPr>
                <w:b/>
                <w:bCs/>
                <w:iCs/>
                <w:sz w:val="22"/>
                <w:szCs w:val="22"/>
              </w:rPr>
              <w:t>2700</w:t>
            </w:r>
          </w:p>
        </w:tc>
        <w:tc>
          <w:tcPr>
            <w:tcW w:w="1418" w:type="dxa"/>
            <w:vAlign w:val="center"/>
          </w:tcPr>
          <w:p w14:paraId="5E27B88C" w14:textId="75BB98A7" w:rsidR="00F315EF" w:rsidRPr="00F315EF" w:rsidRDefault="00F315EF" w:rsidP="00F315EF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315EF">
              <w:rPr>
                <w:b/>
                <w:bCs/>
                <w:iCs/>
                <w:sz w:val="22"/>
                <w:szCs w:val="22"/>
              </w:rPr>
              <w:t>2600</w:t>
            </w:r>
          </w:p>
        </w:tc>
      </w:tr>
      <w:tr w:rsidR="000B69F6" w:rsidRPr="00D8362D" w14:paraId="25F395AB" w14:textId="77777777" w:rsidTr="003B4112">
        <w:tc>
          <w:tcPr>
            <w:tcW w:w="2410" w:type="dxa"/>
          </w:tcPr>
          <w:p w14:paraId="4E89AC5D" w14:textId="64F8B2EE" w:rsidR="000B69F6" w:rsidRDefault="000B69F6" w:rsidP="000B69F6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sz w:val="22"/>
                <w:szCs w:val="24"/>
                <w:lang w:val="ru-RU"/>
              </w:rPr>
            </w:pPr>
            <w:r>
              <w:rPr>
                <w:bCs/>
                <w:sz w:val="22"/>
                <w:szCs w:val="24"/>
                <w:lang w:val="ru-RU"/>
              </w:rPr>
              <w:t>15.10.24–29.12.24</w:t>
            </w:r>
          </w:p>
        </w:tc>
        <w:tc>
          <w:tcPr>
            <w:tcW w:w="1418" w:type="dxa"/>
            <w:vAlign w:val="center"/>
          </w:tcPr>
          <w:p w14:paraId="12A64866" w14:textId="117011C7" w:rsidR="000B69F6" w:rsidRPr="000B69F6" w:rsidRDefault="000B69F6" w:rsidP="000B69F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B69F6">
              <w:rPr>
                <w:b/>
                <w:bCs/>
                <w:iCs/>
                <w:sz w:val="22"/>
                <w:szCs w:val="22"/>
              </w:rPr>
              <w:t>2700</w:t>
            </w:r>
          </w:p>
        </w:tc>
        <w:tc>
          <w:tcPr>
            <w:tcW w:w="1559" w:type="dxa"/>
            <w:vAlign w:val="center"/>
          </w:tcPr>
          <w:p w14:paraId="10343804" w14:textId="1366AE47" w:rsidR="000B69F6" w:rsidRPr="000B69F6" w:rsidRDefault="000B69F6" w:rsidP="000B69F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B69F6">
              <w:rPr>
                <w:b/>
                <w:bCs/>
                <w:iCs/>
                <w:sz w:val="22"/>
                <w:szCs w:val="22"/>
              </w:rPr>
              <w:t>3100</w:t>
            </w:r>
          </w:p>
        </w:tc>
        <w:tc>
          <w:tcPr>
            <w:tcW w:w="1559" w:type="dxa"/>
            <w:vAlign w:val="center"/>
          </w:tcPr>
          <w:p w14:paraId="3E55A574" w14:textId="653888FF" w:rsidR="000B69F6" w:rsidRPr="000B69F6" w:rsidRDefault="000B69F6" w:rsidP="000B69F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B69F6">
              <w:rPr>
                <w:b/>
                <w:bCs/>
                <w:iCs/>
                <w:sz w:val="22"/>
                <w:szCs w:val="22"/>
              </w:rPr>
              <w:t>2800</w:t>
            </w:r>
          </w:p>
        </w:tc>
        <w:tc>
          <w:tcPr>
            <w:tcW w:w="1559" w:type="dxa"/>
            <w:vAlign w:val="center"/>
          </w:tcPr>
          <w:p w14:paraId="76B92F39" w14:textId="44EC891C" w:rsidR="000B69F6" w:rsidRPr="000B69F6" w:rsidRDefault="000B69F6" w:rsidP="000B69F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B69F6">
              <w:rPr>
                <w:b/>
                <w:bCs/>
                <w:iCs/>
                <w:sz w:val="22"/>
                <w:szCs w:val="22"/>
              </w:rPr>
              <w:t>2700</w:t>
            </w:r>
          </w:p>
        </w:tc>
        <w:tc>
          <w:tcPr>
            <w:tcW w:w="1418" w:type="dxa"/>
            <w:vAlign w:val="center"/>
          </w:tcPr>
          <w:p w14:paraId="3955A6FA" w14:textId="4154D548" w:rsidR="000B69F6" w:rsidRPr="000B69F6" w:rsidRDefault="000B69F6" w:rsidP="000B69F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B69F6">
              <w:rPr>
                <w:b/>
                <w:bCs/>
                <w:iCs/>
                <w:sz w:val="22"/>
                <w:szCs w:val="22"/>
              </w:rPr>
              <w:t>2500</w:t>
            </w:r>
          </w:p>
        </w:tc>
      </w:tr>
    </w:tbl>
    <w:p w14:paraId="54469E54" w14:textId="074C3D74" w:rsidR="00E86C5D" w:rsidRPr="005012AD" w:rsidRDefault="00E86C5D" w:rsidP="00F166B4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</w:p>
    <w:p w14:paraId="086E248C" w14:textId="4EE6E30C" w:rsidR="00072673" w:rsidRPr="008634E1" w:rsidRDefault="00315D09" w:rsidP="003B41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56E49B3C" w14:textId="77777777" w:rsidR="00F166B4" w:rsidRPr="00F166B4" w:rsidRDefault="00F166B4" w:rsidP="003B4112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166B4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1B242045" w14:textId="77777777" w:rsidR="00F166B4" w:rsidRPr="00F166B4" w:rsidRDefault="00F166B4" w:rsidP="003B4112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166B4">
        <w:rPr>
          <w:rFonts w:ascii="Times New Roman" w:eastAsia="Times New Roman" w:hAnsi="Times New Roman"/>
          <w:color w:val="000000"/>
          <w:szCs w:val="24"/>
          <w:lang w:eastAsia="ru-RU"/>
        </w:rPr>
        <w:t>услуги экскурсовода;</w:t>
      </w:r>
    </w:p>
    <w:p w14:paraId="412ECD96" w14:textId="260936DD" w:rsidR="00212D47" w:rsidRPr="00212D47" w:rsidRDefault="00F166B4" w:rsidP="003B4112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166B4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всему маршруту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29F96E8B" w14:textId="2C50D729" w:rsidR="000D302A" w:rsidRPr="005012AD" w:rsidRDefault="000D302A" w:rsidP="00F166B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14:paraId="10691E7C" w14:textId="0CE3B602" w:rsidR="00072673" w:rsidRPr="008634E1" w:rsidRDefault="00072673" w:rsidP="003B4112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17CFB31A" w14:textId="77777777" w:rsidR="000B69F6" w:rsidRPr="000B69F6" w:rsidRDefault="000B69F6" w:rsidP="000B69F6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0B69F6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на сайте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1616A71E" w14:textId="77777777" w:rsidR="000B69F6" w:rsidRPr="000B69F6" w:rsidRDefault="000B69F6" w:rsidP="000B69F6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0B69F6">
        <w:rPr>
          <w:rFonts w:ascii="Times New Roman" w:eastAsia="Times New Roman" w:hAnsi="Times New Roman"/>
          <w:b/>
          <w:color w:val="000000"/>
          <w:szCs w:val="24"/>
          <w:lang w:eastAsia="ru-RU"/>
        </w:rPr>
        <w:t>В период с 15.10 по 29.12.2024 интерактивные экскурсии проводятся во все дни, кроме дат школьных каникул.</w:t>
      </w:r>
    </w:p>
    <w:p w14:paraId="7E15E5FD" w14:textId="77777777" w:rsidR="000B69F6" w:rsidRPr="000B69F6" w:rsidRDefault="000B69F6" w:rsidP="000B69F6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B69F6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29250EAD" w14:textId="77777777" w:rsidR="000B69F6" w:rsidRPr="000B69F6" w:rsidRDefault="000B69F6" w:rsidP="000B69F6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B69F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</w:t>
      </w:r>
      <w:r w:rsidRPr="000B69F6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0DB0CEC1" w14:textId="77777777" w:rsidR="000B69F6" w:rsidRPr="000B69F6" w:rsidRDefault="000B69F6" w:rsidP="000B69F6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B69F6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52F875AA" w14:textId="77777777" w:rsidR="000B69F6" w:rsidRPr="000B69F6" w:rsidRDefault="000B69F6" w:rsidP="000B69F6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B69F6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20C6D366" w14:textId="77777777" w:rsidR="000B69F6" w:rsidRPr="000B69F6" w:rsidRDefault="000B69F6" w:rsidP="000B69F6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B69F6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06A8C554" w14:textId="77777777" w:rsidR="000B69F6" w:rsidRPr="000B69F6" w:rsidRDefault="000B69F6" w:rsidP="000B69F6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B69F6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2A122A4B" w:rsidR="00072673" w:rsidRPr="000B69F6" w:rsidRDefault="000B69F6" w:rsidP="000B69F6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B69F6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</w:p>
    <w:sectPr w:rsidR="00072673" w:rsidRPr="000B69F6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128FD" w14:textId="77777777" w:rsidR="00AA1C29" w:rsidRDefault="00AA1C29" w:rsidP="00CD1C11">
      <w:pPr>
        <w:spacing w:after="0" w:line="240" w:lineRule="auto"/>
      </w:pPr>
      <w:r>
        <w:separator/>
      </w:r>
    </w:p>
  </w:endnote>
  <w:endnote w:type="continuationSeparator" w:id="0">
    <w:p w14:paraId="71404339" w14:textId="77777777" w:rsidR="00AA1C29" w:rsidRDefault="00AA1C29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0C0CC" w14:textId="77777777" w:rsidR="00AA1C29" w:rsidRDefault="00AA1C29" w:rsidP="00CD1C11">
      <w:pPr>
        <w:spacing w:after="0" w:line="240" w:lineRule="auto"/>
      </w:pPr>
      <w:r>
        <w:separator/>
      </w:r>
    </w:p>
  </w:footnote>
  <w:footnote w:type="continuationSeparator" w:id="0">
    <w:p w14:paraId="26197793" w14:textId="77777777" w:rsidR="00AA1C29" w:rsidRDefault="00AA1C29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D1DF4"/>
    <w:multiLevelType w:val="hybridMultilevel"/>
    <w:tmpl w:val="BFBA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F662B"/>
    <w:multiLevelType w:val="hybridMultilevel"/>
    <w:tmpl w:val="9D6A7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15D32"/>
    <w:multiLevelType w:val="hybridMultilevel"/>
    <w:tmpl w:val="B8A88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25"/>
  </w:num>
  <w:num w:numId="5">
    <w:abstractNumId w:val="5"/>
  </w:num>
  <w:num w:numId="6">
    <w:abstractNumId w:val="24"/>
  </w:num>
  <w:num w:numId="7">
    <w:abstractNumId w:val="32"/>
  </w:num>
  <w:num w:numId="8">
    <w:abstractNumId w:val="8"/>
  </w:num>
  <w:num w:numId="9">
    <w:abstractNumId w:val="17"/>
  </w:num>
  <w:num w:numId="10">
    <w:abstractNumId w:val="6"/>
  </w:num>
  <w:num w:numId="11">
    <w:abstractNumId w:val="11"/>
  </w:num>
  <w:num w:numId="12">
    <w:abstractNumId w:val="19"/>
  </w:num>
  <w:num w:numId="13">
    <w:abstractNumId w:val="12"/>
  </w:num>
  <w:num w:numId="14">
    <w:abstractNumId w:val="10"/>
  </w:num>
  <w:num w:numId="15">
    <w:abstractNumId w:val="9"/>
  </w:num>
  <w:num w:numId="16">
    <w:abstractNumId w:val="27"/>
  </w:num>
  <w:num w:numId="17">
    <w:abstractNumId w:val="7"/>
  </w:num>
  <w:num w:numId="18">
    <w:abstractNumId w:val="21"/>
  </w:num>
  <w:num w:numId="19">
    <w:abstractNumId w:val="3"/>
  </w:num>
  <w:num w:numId="20">
    <w:abstractNumId w:val="13"/>
  </w:num>
  <w:num w:numId="21">
    <w:abstractNumId w:val="15"/>
  </w:num>
  <w:num w:numId="22">
    <w:abstractNumId w:val="30"/>
  </w:num>
  <w:num w:numId="23">
    <w:abstractNumId w:val="18"/>
  </w:num>
  <w:num w:numId="24">
    <w:abstractNumId w:val="20"/>
  </w:num>
  <w:num w:numId="25">
    <w:abstractNumId w:val="16"/>
  </w:num>
  <w:num w:numId="26">
    <w:abstractNumId w:val="31"/>
  </w:num>
  <w:num w:numId="27">
    <w:abstractNumId w:val="14"/>
  </w:num>
  <w:num w:numId="28">
    <w:abstractNumId w:val="28"/>
  </w:num>
  <w:num w:numId="29">
    <w:abstractNumId w:val="4"/>
  </w:num>
  <w:num w:numId="30">
    <w:abstractNumId w:val="22"/>
  </w:num>
  <w:num w:numId="31">
    <w:abstractNumId w:val="29"/>
  </w:num>
  <w:num w:numId="32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74545"/>
    <w:rsid w:val="00086F4E"/>
    <w:rsid w:val="0009172F"/>
    <w:rsid w:val="000917F5"/>
    <w:rsid w:val="000B69F6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426F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274D"/>
    <w:rsid w:val="001D592C"/>
    <w:rsid w:val="001E3CB8"/>
    <w:rsid w:val="001E6370"/>
    <w:rsid w:val="001E7968"/>
    <w:rsid w:val="001F792D"/>
    <w:rsid w:val="001F7EC9"/>
    <w:rsid w:val="00200D22"/>
    <w:rsid w:val="00201C0D"/>
    <w:rsid w:val="00206011"/>
    <w:rsid w:val="00212D47"/>
    <w:rsid w:val="002449F5"/>
    <w:rsid w:val="00255C83"/>
    <w:rsid w:val="00257C2F"/>
    <w:rsid w:val="00263267"/>
    <w:rsid w:val="00266BD2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E5108"/>
    <w:rsid w:val="002F0310"/>
    <w:rsid w:val="002F52CE"/>
    <w:rsid w:val="00315D09"/>
    <w:rsid w:val="0031740B"/>
    <w:rsid w:val="00317DC8"/>
    <w:rsid w:val="00320FFE"/>
    <w:rsid w:val="003213C0"/>
    <w:rsid w:val="00322973"/>
    <w:rsid w:val="00322F60"/>
    <w:rsid w:val="0032560A"/>
    <w:rsid w:val="00326E6B"/>
    <w:rsid w:val="00337349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B4112"/>
    <w:rsid w:val="003B5F11"/>
    <w:rsid w:val="003C02B5"/>
    <w:rsid w:val="003C62DA"/>
    <w:rsid w:val="003D1EF7"/>
    <w:rsid w:val="003E4DC2"/>
    <w:rsid w:val="003E52ED"/>
    <w:rsid w:val="003F0E9D"/>
    <w:rsid w:val="00410509"/>
    <w:rsid w:val="00421C59"/>
    <w:rsid w:val="004521B8"/>
    <w:rsid w:val="00455564"/>
    <w:rsid w:val="00480F1B"/>
    <w:rsid w:val="004A3D84"/>
    <w:rsid w:val="004A6356"/>
    <w:rsid w:val="004B0281"/>
    <w:rsid w:val="004D27AB"/>
    <w:rsid w:val="004D7FDA"/>
    <w:rsid w:val="004E1982"/>
    <w:rsid w:val="004F08C6"/>
    <w:rsid w:val="004F18CE"/>
    <w:rsid w:val="004F5795"/>
    <w:rsid w:val="005012AD"/>
    <w:rsid w:val="00507CE5"/>
    <w:rsid w:val="005141BD"/>
    <w:rsid w:val="0051666A"/>
    <w:rsid w:val="00521EFE"/>
    <w:rsid w:val="0052616C"/>
    <w:rsid w:val="00526A18"/>
    <w:rsid w:val="005279F3"/>
    <w:rsid w:val="00527DF3"/>
    <w:rsid w:val="005318CF"/>
    <w:rsid w:val="00534987"/>
    <w:rsid w:val="00537617"/>
    <w:rsid w:val="00544444"/>
    <w:rsid w:val="0055729D"/>
    <w:rsid w:val="005573D5"/>
    <w:rsid w:val="005576A3"/>
    <w:rsid w:val="00560DE7"/>
    <w:rsid w:val="005701C9"/>
    <w:rsid w:val="0057431A"/>
    <w:rsid w:val="00574AD1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3B17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6F7556"/>
    <w:rsid w:val="00710822"/>
    <w:rsid w:val="00713289"/>
    <w:rsid w:val="0071562E"/>
    <w:rsid w:val="00721055"/>
    <w:rsid w:val="007219A5"/>
    <w:rsid w:val="00721ABC"/>
    <w:rsid w:val="007231CE"/>
    <w:rsid w:val="00737485"/>
    <w:rsid w:val="00737DD0"/>
    <w:rsid w:val="00751C7C"/>
    <w:rsid w:val="007649AD"/>
    <w:rsid w:val="0077079E"/>
    <w:rsid w:val="0077388F"/>
    <w:rsid w:val="00785B73"/>
    <w:rsid w:val="00792EC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27A27"/>
    <w:rsid w:val="00830A10"/>
    <w:rsid w:val="00831D5F"/>
    <w:rsid w:val="00840E30"/>
    <w:rsid w:val="008459B6"/>
    <w:rsid w:val="00850A11"/>
    <w:rsid w:val="0085774C"/>
    <w:rsid w:val="00861DD6"/>
    <w:rsid w:val="008634E1"/>
    <w:rsid w:val="00872E9B"/>
    <w:rsid w:val="00890F96"/>
    <w:rsid w:val="008A24DB"/>
    <w:rsid w:val="008A27EB"/>
    <w:rsid w:val="008C1A80"/>
    <w:rsid w:val="008E0402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B64ED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3330C"/>
    <w:rsid w:val="00A41C41"/>
    <w:rsid w:val="00A420C2"/>
    <w:rsid w:val="00A466A6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3BCF"/>
    <w:rsid w:val="00A9690B"/>
    <w:rsid w:val="00A9753A"/>
    <w:rsid w:val="00AA170F"/>
    <w:rsid w:val="00AA1C29"/>
    <w:rsid w:val="00AC3EF1"/>
    <w:rsid w:val="00AC78EA"/>
    <w:rsid w:val="00AD03C9"/>
    <w:rsid w:val="00AD7951"/>
    <w:rsid w:val="00AD7E4D"/>
    <w:rsid w:val="00AE1F06"/>
    <w:rsid w:val="00AE670D"/>
    <w:rsid w:val="00AF00FC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75523"/>
    <w:rsid w:val="00B853D2"/>
    <w:rsid w:val="00BA07F0"/>
    <w:rsid w:val="00BA3269"/>
    <w:rsid w:val="00BA59AB"/>
    <w:rsid w:val="00BA72E1"/>
    <w:rsid w:val="00BC3311"/>
    <w:rsid w:val="00BC68B4"/>
    <w:rsid w:val="00BE0087"/>
    <w:rsid w:val="00BE673C"/>
    <w:rsid w:val="00BF6748"/>
    <w:rsid w:val="00C22DE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4F73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DE5562"/>
    <w:rsid w:val="00E15570"/>
    <w:rsid w:val="00E24F1A"/>
    <w:rsid w:val="00E36F40"/>
    <w:rsid w:val="00E473E7"/>
    <w:rsid w:val="00E607EF"/>
    <w:rsid w:val="00E634FF"/>
    <w:rsid w:val="00E71A02"/>
    <w:rsid w:val="00E723B1"/>
    <w:rsid w:val="00E86C5D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2B8A"/>
    <w:rsid w:val="00EE3FAF"/>
    <w:rsid w:val="00EE4C8F"/>
    <w:rsid w:val="00EF3465"/>
    <w:rsid w:val="00EF4546"/>
    <w:rsid w:val="00F04EFE"/>
    <w:rsid w:val="00F050E6"/>
    <w:rsid w:val="00F06101"/>
    <w:rsid w:val="00F166B4"/>
    <w:rsid w:val="00F20FF8"/>
    <w:rsid w:val="00F22D5A"/>
    <w:rsid w:val="00F26ED3"/>
    <w:rsid w:val="00F315EF"/>
    <w:rsid w:val="00F32AEC"/>
    <w:rsid w:val="00F46C9A"/>
    <w:rsid w:val="00F50871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54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431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35</cp:revision>
  <cp:lastPrinted>2021-05-14T11:01:00Z</cp:lastPrinted>
  <dcterms:created xsi:type="dcterms:W3CDTF">2021-05-19T11:07:00Z</dcterms:created>
  <dcterms:modified xsi:type="dcterms:W3CDTF">2024-02-20T15:57:00Z</dcterms:modified>
</cp:coreProperties>
</file>